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A30" w:rsidRPr="009C3F69" w:rsidRDefault="00F17C5F" w:rsidP="004A722B">
      <w:pPr>
        <w:pStyle w:val="FootnoteText"/>
        <w:tabs>
          <w:tab w:val="left" w:pos="0"/>
        </w:tabs>
        <w:spacing w:line="276" w:lineRule="auto"/>
        <w:jc w:val="both"/>
        <w:rPr>
          <w:rFonts w:ascii="Arial" w:eastAsia="Arial Unicode MS" w:hAnsi="Arial" w:cs="Arial"/>
          <w:b/>
          <w:sz w:val="24"/>
          <w:szCs w:val="24"/>
        </w:rPr>
      </w:pPr>
      <w:r w:rsidRPr="009C3F69">
        <w:rPr>
          <w:rFonts w:ascii="Arial" w:eastAsia="Arial Unicode MS" w:hAnsi="Arial" w:cs="Arial"/>
          <w:b/>
          <w:sz w:val="24"/>
          <w:szCs w:val="24"/>
        </w:rPr>
        <w:tab/>
      </w:r>
      <w:r w:rsidRPr="009C3F69">
        <w:rPr>
          <w:rFonts w:ascii="Arial" w:eastAsia="Arial Unicode MS" w:hAnsi="Arial" w:cs="Arial"/>
          <w:b/>
          <w:sz w:val="24"/>
          <w:szCs w:val="24"/>
        </w:rPr>
        <w:tab/>
        <w:t>Is right to information a fundamental right?</w:t>
      </w:r>
    </w:p>
    <w:p w:rsidR="00600A30" w:rsidRPr="009C3F69" w:rsidRDefault="00F17C5F" w:rsidP="004A722B">
      <w:pPr>
        <w:pStyle w:val="FootnoteText"/>
        <w:tabs>
          <w:tab w:val="left" w:pos="0"/>
        </w:tabs>
        <w:spacing w:line="276" w:lineRule="auto"/>
        <w:ind w:left="900"/>
        <w:jc w:val="both"/>
        <w:rPr>
          <w:rFonts w:ascii="Arial" w:eastAsia="Arial Unicode MS" w:hAnsi="Arial" w:cs="Arial"/>
          <w:sz w:val="24"/>
          <w:szCs w:val="24"/>
        </w:rPr>
      </w:pPr>
      <w:r w:rsidRPr="009C3F69">
        <w:rPr>
          <w:rFonts w:ascii="Arial" w:eastAsia="Arial Unicode MS" w:hAnsi="Arial" w:cs="Arial"/>
          <w:sz w:val="24"/>
          <w:szCs w:val="24"/>
        </w:rPr>
        <w:tab/>
        <w:t>President Aigbokhan &amp; D.F. Tom</w:t>
      </w:r>
    </w:p>
    <w:p w:rsidR="00600A30" w:rsidRPr="009C3F69" w:rsidRDefault="00F17C5F" w:rsidP="004A722B">
      <w:pPr>
        <w:pStyle w:val="FootnoteText"/>
        <w:tabs>
          <w:tab w:val="left" w:pos="0"/>
        </w:tabs>
        <w:spacing w:line="276" w:lineRule="auto"/>
        <w:ind w:left="900"/>
        <w:jc w:val="both"/>
        <w:rPr>
          <w:rFonts w:ascii="Arial" w:eastAsia="Arial Unicode MS" w:hAnsi="Arial" w:cs="Arial"/>
          <w:sz w:val="24"/>
          <w:szCs w:val="24"/>
        </w:rPr>
      </w:pPr>
      <w:r w:rsidRPr="009C3F69">
        <w:rPr>
          <w:rFonts w:ascii="Arial" w:eastAsia="Arial Unicode MS" w:hAnsi="Arial" w:cs="Arial"/>
          <w:sz w:val="24"/>
          <w:szCs w:val="24"/>
        </w:rPr>
        <w:tab/>
      </w:r>
      <w:r w:rsidRPr="009C3F69">
        <w:rPr>
          <w:rFonts w:ascii="Arial" w:eastAsia="Arial Unicode MS" w:hAnsi="Arial" w:cs="Arial"/>
          <w:sz w:val="24"/>
          <w:szCs w:val="24"/>
        </w:rPr>
        <w:tab/>
      </w:r>
    </w:p>
    <w:p w:rsidR="00600A30" w:rsidRPr="009C3F69" w:rsidRDefault="00F17C5F" w:rsidP="004A722B">
      <w:pPr>
        <w:pStyle w:val="FootnoteText"/>
        <w:tabs>
          <w:tab w:val="left" w:pos="0"/>
        </w:tabs>
        <w:spacing w:line="276" w:lineRule="auto"/>
        <w:ind w:left="-360"/>
        <w:jc w:val="both"/>
        <w:rPr>
          <w:rFonts w:ascii="Arial" w:eastAsia="Arial Unicode MS" w:hAnsi="Arial" w:cs="Arial"/>
          <w:b/>
          <w:i/>
          <w:sz w:val="24"/>
          <w:szCs w:val="24"/>
        </w:rPr>
      </w:pPr>
      <w:r w:rsidRPr="009C3F69">
        <w:rPr>
          <w:rFonts w:ascii="Arial" w:eastAsia="Arial Unicode MS" w:hAnsi="Arial" w:cs="Arial"/>
          <w:b/>
          <w:sz w:val="24"/>
          <w:szCs w:val="24"/>
        </w:rPr>
        <w:tab/>
      </w:r>
      <w:r w:rsidRPr="009C3F69">
        <w:rPr>
          <w:rFonts w:ascii="Arial" w:eastAsia="Arial Unicode MS" w:hAnsi="Arial" w:cs="Arial"/>
          <w:b/>
          <w:sz w:val="24"/>
          <w:szCs w:val="24"/>
        </w:rPr>
        <w:tab/>
      </w:r>
      <w:r w:rsidRPr="009C3F69">
        <w:rPr>
          <w:rFonts w:ascii="Arial" w:eastAsia="Arial Unicode MS" w:hAnsi="Arial" w:cs="Arial"/>
          <w:b/>
          <w:sz w:val="24"/>
          <w:szCs w:val="24"/>
        </w:rPr>
        <w:tab/>
      </w:r>
      <w:r w:rsidRPr="009C3F69">
        <w:rPr>
          <w:rFonts w:ascii="Arial" w:eastAsia="Arial Unicode MS" w:hAnsi="Arial" w:cs="Arial"/>
          <w:b/>
          <w:sz w:val="24"/>
          <w:szCs w:val="24"/>
        </w:rPr>
        <w:tab/>
      </w:r>
      <w:r w:rsidRPr="009C3F69">
        <w:rPr>
          <w:rFonts w:ascii="Arial" w:eastAsia="Arial Unicode MS" w:hAnsi="Arial" w:cs="Arial"/>
          <w:b/>
          <w:sz w:val="24"/>
          <w:szCs w:val="24"/>
        </w:rPr>
        <w:tab/>
      </w:r>
      <w:r w:rsidRPr="009C3F69">
        <w:rPr>
          <w:rFonts w:ascii="Arial" w:eastAsia="Arial Unicode MS" w:hAnsi="Arial" w:cs="Arial"/>
          <w:b/>
          <w:i/>
          <w:sz w:val="24"/>
          <w:szCs w:val="24"/>
        </w:rPr>
        <w:t>ABSTRACT</w:t>
      </w:r>
    </w:p>
    <w:p w:rsidR="00600A30" w:rsidRPr="009C3F69" w:rsidRDefault="00F17C5F" w:rsidP="004A722B">
      <w:pPr>
        <w:pStyle w:val="FootnoteText"/>
        <w:tabs>
          <w:tab w:val="left" w:pos="0"/>
        </w:tabs>
        <w:spacing w:line="276" w:lineRule="auto"/>
        <w:ind w:left="-360"/>
        <w:jc w:val="both"/>
        <w:rPr>
          <w:rFonts w:ascii="Arial" w:hAnsi="Arial" w:cs="Arial"/>
          <w:i/>
          <w:sz w:val="24"/>
          <w:szCs w:val="24"/>
        </w:rPr>
      </w:pPr>
      <w:r w:rsidRPr="009C3F69">
        <w:rPr>
          <w:rFonts w:ascii="Arial" w:eastAsia="Arial Unicode MS" w:hAnsi="Arial" w:cs="Arial"/>
          <w:i/>
          <w:sz w:val="24"/>
          <w:szCs w:val="24"/>
        </w:rPr>
        <w:t>Nigeria’s transparency blade is a mimic of life after death save for several international human rights treaties incorporated into national laws. The requirement of leave in the enforcement of the right to information is a moon-shine.</w:t>
      </w:r>
      <w:r w:rsidRPr="009C3F69">
        <w:rPr>
          <w:rFonts w:ascii="Arial" w:hAnsi="Arial" w:cs="Arial"/>
          <w:i/>
          <w:sz w:val="24"/>
          <w:szCs w:val="24"/>
        </w:rPr>
        <w:t xml:space="preserve"> This article stands out as a substantive procedure to test the applicability of the right to information as a fundamental right in line with the intention of the legislators and the decisions of international courts. The absence of rural youth tactics in advocacy reduces not only public scrutiny of state actions, but awareness of the right to information as a global fundamental right of the finest cast.</w:t>
      </w:r>
    </w:p>
    <w:p w:rsidR="00600A30" w:rsidRPr="009C3F69" w:rsidRDefault="00600A30" w:rsidP="004A722B">
      <w:pPr>
        <w:pStyle w:val="FootnoteText"/>
        <w:tabs>
          <w:tab w:val="left" w:pos="0"/>
        </w:tabs>
        <w:spacing w:line="276" w:lineRule="auto"/>
        <w:ind w:left="-360"/>
        <w:jc w:val="both"/>
        <w:rPr>
          <w:rFonts w:ascii="Arial" w:eastAsia="Arial Unicode MS" w:hAnsi="Arial" w:cs="Arial"/>
          <w:b/>
          <w:sz w:val="24"/>
          <w:szCs w:val="24"/>
        </w:rPr>
      </w:pPr>
    </w:p>
    <w:p w:rsidR="00600A30" w:rsidRPr="009C3F69" w:rsidRDefault="00F17C5F" w:rsidP="004A722B">
      <w:pPr>
        <w:pStyle w:val="FootnoteText"/>
        <w:tabs>
          <w:tab w:val="left" w:pos="0"/>
        </w:tabs>
        <w:spacing w:line="276" w:lineRule="auto"/>
        <w:ind w:left="-360"/>
        <w:jc w:val="both"/>
        <w:rPr>
          <w:rFonts w:ascii="Arial" w:eastAsia="Arial Unicode MS" w:hAnsi="Arial" w:cs="Arial"/>
          <w:sz w:val="24"/>
          <w:szCs w:val="24"/>
        </w:rPr>
      </w:pPr>
      <w:r w:rsidRPr="009C3F69">
        <w:rPr>
          <w:rFonts w:ascii="Arial" w:eastAsia="Arial Unicode MS" w:hAnsi="Arial" w:cs="Arial"/>
          <w:b/>
          <w:sz w:val="24"/>
          <w:szCs w:val="24"/>
        </w:rPr>
        <w:t xml:space="preserve">KEYWORDS: </w:t>
      </w:r>
      <w:r w:rsidRPr="009C3F69">
        <w:rPr>
          <w:rFonts w:ascii="Arial" w:eastAsia="Arial Unicode MS" w:hAnsi="Arial" w:cs="Arial"/>
          <w:sz w:val="24"/>
          <w:szCs w:val="24"/>
        </w:rPr>
        <w:t>right, expression, information, fundamental, judicial review, leave, public interest</w:t>
      </w:r>
    </w:p>
    <w:p w:rsidR="00600A30" w:rsidRPr="009C3F69" w:rsidRDefault="00600A30" w:rsidP="004A722B">
      <w:pPr>
        <w:pStyle w:val="FootnoteText"/>
        <w:tabs>
          <w:tab w:val="left" w:pos="0"/>
        </w:tabs>
        <w:spacing w:line="276" w:lineRule="auto"/>
        <w:ind w:left="-360"/>
        <w:jc w:val="both"/>
        <w:rPr>
          <w:rFonts w:ascii="Arial" w:eastAsia="Arial Unicode MS" w:hAnsi="Arial" w:cs="Arial"/>
          <w:b/>
          <w:sz w:val="24"/>
          <w:szCs w:val="24"/>
        </w:rPr>
      </w:pPr>
    </w:p>
    <w:p w:rsidR="00600A30" w:rsidRPr="009C3F69" w:rsidRDefault="00F17C5F" w:rsidP="004A722B">
      <w:pPr>
        <w:pStyle w:val="FootnoteText"/>
        <w:tabs>
          <w:tab w:val="left" w:pos="0"/>
        </w:tabs>
        <w:spacing w:line="276" w:lineRule="auto"/>
        <w:ind w:left="-360"/>
        <w:jc w:val="both"/>
        <w:rPr>
          <w:rFonts w:ascii="Arial" w:eastAsia="Arial Unicode MS" w:hAnsi="Arial" w:cs="Arial"/>
          <w:b/>
          <w:sz w:val="24"/>
          <w:szCs w:val="24"/>
        </w:rPr>
      </w:pPr>
      <w:r w:rsidRPr="009C3F69">
        <w:rPr>
          <w:rFonts w:ascii="Arial" w:eastAsia="Arial Unicode MS" w:hAnsi="Arial" w:cs="Arial"/>
          <w:sz w:val="24"/>
          <w:szCs w:val="24"/>
        </w:rPr>
        <w:tab/>
      </w:r>
      <w:r w:rsidRPr="009C3F69">
        <w:rPr>
          <w:rFonts w:ascii="Arial" w:eastAsia="Arial Unicode MS" w:hAnsi="Arial" w:cs="Arial"/>
          <w:sz w:val="24"/>
          <w:szCs w:val="24"/>
        </w:rPr>
        <w:tab/>
      </w:r>
      <w:r w:rsidRPr="009C3F69">
        <w:rPr>
          <w:rFonts w:ascii="Arial" w:eastAsia="Arial Unicode MS" w:hAnsi="Arial" w:cs="Arial"/>
          <w:sz w:val="24"/>
          <w:szCs w:val="24"/>
        </w:rPr>
        <w:tab/>
      </w:r>
      <w:r w:rsidRPr="009C3F69">
        <w:rPr>
          <w:rFonts w:ascii="Arial" w:eastAsia="Arial Unicode MS" w:hAnsi="Arial" w:cs="Arial"/>
          <w:b/>
          <w:sz w:val="24"/>
          <w:szCs w:val="24"/>
        </w:rPr>
        <w:t>DEFINITION OF TERMS</w:t>
      </w:r>
    </w:p>
    <w:p w:rsidR="00600A30" w:rsidRPr="009C3F69" w:rsidRDefault="00F17C5F" w:rsidP="004A722B">
      <w:pPr>
        <w:pStyle w:val="BlockText"/>
        <w:tabs>
          <w:tab w:val="left" w:pos="0"/>
        </w:tabs>
        <w:spacing w:line="276" w:lineRule="auto"/>
        <w:ind w:left="-360" w:right="0" w:firstLine="0"/>
        <w:rPr>
          <w:rFonts w:ascii="Arial" w:eastAsia="Arial Unicode MS" w:hAnsi="Arial" w:cs="Arial"/>
          <w:sz w:val="24"/>
          <w:szCs w:val="24"/>
        </w:rPr>
      </w:pPr>
      <w:r w:rsidRPr="009C3F69">
        <w:rPr>
          <w:rFonts w:ascii="Arial" w:eastAsia="Arial Unicode MS" w:hAnsi="Arial" w:cs="Arial"/>
          <w:sz w:val="24"/>
          <w:szCs w:val="24"/>
        </w:rPr>
        <w:t>The language of human right has become a talisman of good governance.</w:t>
      </w:r>
      <w:r w:rsidRPr="009C3F69">
        <w:rPr>
          <w:rStyle w:val="FootnoteReference"/>
          <w:rFonts w:ascii="Arial" w:eastAsia="Arial Unicode MS" w:hAnsi="Arial" w:cs="Arial"/>
          <w:sz w:val="24"/>
          <w:szCs w:val="24"/>
        </w:rPr>
        <w:footnoteReference w:id="2"/>
      </w:r>
      <w:r w:rsidRPr="009C3F69">
        <w:rPr>
          <w:rFonts w:ascii="Arial" w:eastAsia="Arial Unicode MS" w:hAnsi="Arial" w:cs="Arial"/>
          <w:sz w:val="24"/>
          <w:szCs w:val="24"/>
        </w:rPr>
        <w:t>Human right is the silent eloquence of development and the absence of it is government dead not clinically. These rights are inherent [in] man and the violation of which renders man less human</w:t>
      </w:r>
      <w:r w:rsidRPr="009C3F69">
        <w:rPr>
          <w:rStyle w:val="FootnoteReference"/>
          <w:rFonts w:ascii="Arial" w:eastAsia="Arial Unicode MS" w:hAnsi="Arial" w:cs="Arial"/>
          <w:sz w:val="24"/>
          <w:szCs w:val="24"/>
        </w:rPr>
        <w:footnoteReference w:id="3"/>
      </w:r>
      <w:r w:rsidRPr="009C3F69">
        <w:rPr>
          <w:rFonts w:ascii="Arial" w:eastAsia="Arial Unicode MS" w:hAnsi="Arial" w:cs="Arial"/>
          <w:sz w:val="24"/>
          <w:szCs w:val="24"/>
        </w:rPr>
        <w:t xml:space="preserve"> or a grave affront to [man’s] natural sense of justice.</w:t>
      </w:r>
      <w:r w:rsidRPr="009C3F69">
        <w:rPr>
          <w:rStyle w:val="FootnoteReference"/>
          <w:rFonts w:ascii="Arial" w:eastAsia="Arial Unicode MS" w:hAnsi="Arial" w:cs="Arial"/>
          <w:sz w:val="24"/>
          <w:szCs w:val="24"/>
        </w:rPr>
        <w:footnoteReference w:id="4"/>
      </w:r>
      <w:r w:rsidRPr="009C3F69">
        <w:rPr>
          <w:rFonts w:ascii="Arial" w:eastAsia="Arial Unicode MS" w:hAnsi="Arial" w:cs="Arial"/>
          <w:sz w:val="24"/>
          <w:szCs w:val="24"/>
        </w:rPr>
        <w:t xml:space="preserve"> A fundamental right is a prologue to a civilized society. They are of two categories; the liberty oriented or first generation right, which covers the right to life, freedom of thought, conscience and the second generation rights</w:t>
      </w:r>
      <w:r w:rsidRPr="009C3F69">
        <w:rPr>
          <w:rStyle w:val="FootnoteReference"/>
          <w:rFonts w:ascii="Arial" w:eastAsia="Arial Unicode MS" w:hAnsi="Arial" w:cs="Arial"/>
          <w:sz w:val="24"/>
          <w:szCs w:val="24"/>
        </w:rPr>
        <w:footnoteReference w:id="5"/>
      </w:r>
      <w:r w:rsidRPr="009C3F69">
        <w:rPr>
          <w:rFonts w:ascii="Arial" w:eastAsia="Arial Unicode MS" w:hAnsi="Arial" w:cs="Arial"/>
          <w:sz w:val="24"/>
          <w:szCs w:val="24"/>
        </w:rPr>
        <w:t xml:space="preserve"> which are called socio-economic rights. Some believe that socio-economic rights are mere idealistic aspirations that fall outside the core human rights </w:t>
      </w:r>
      <w:r w:rsidRPr="009C3F69">
        <w:rPr>
          <w:rFonts w:ascii="Arial" w:eastAsia="Arial Unicode MS" w:hAnsi="Arial" w:cs="Arial"/>
          <w:sz w:val="24"/>
          <w:szCs w:val="24"/>
        </w:rPr>
        <w:lastRenderedPageBreak/>
        <w:t>framework.</w:t>
      </w:r>
      <w:r w:rsidRPr="009C3F69">
        <w:rPr>
          <w:rStyle w:val="FootnoteReference"/>
          <w:rFonts w:ascii="Arial" w:eastAsia="Arial Unicode MS" w:hAnsi="Arial" w:cs="Arial"/>
          <w:sz w:val="24"/>
          <w:szCs w:val="24"/>
        </w:rPr>
        <w:footnoteReference w:id="6"/>
      </w:r>
      <w:r w:rsidRPr="009C3F69">
        <w:rPr>
          <w:rFonts w:ascii="Arial" w:eastAsia="Arial Unicode MS" w:hAnsi="Arial" w:cs="Arial"/>
          <w:sz w:val="24"/>
          <w:szCs w:val="24"/>
        </w:rPr>
        <w:t xml:space="preserve">Social economic rights are organic rights that change with society and political circumstances. Freedom of expression and information is one genetic makeup that shares its chemistry with other members of the first and second generation human right family, as they are interdependent and impacted by the enforcement of each other. </w:t>
      </w:r>
    </w:p>
    <w:p w:rsidR="00600A30" w:rsidRPr="009C3F69" w:rsidRDefault="00600A30" w:rsidP="004A722B">
      <w:pPr>
        <w:pStyle w:val="BlockText"/>
        <w:tabs>
          <w:tab w:val="left" w:pos="0"/>
        </w:tabs>
        <w:spacing w:line="276" w:lineRule="auto"/>
        <w:ind w:left="-360" w:right="0" w:firstLine="0"/>
        <w:rPr>
          <w:rFonts w:ascii="Arial" w:eastAsia="Arial Unicode MS" w:hAnsi="Arial" w:cs="Arial"/>
          <w:sz w:val="24"/>
          <w:szCs w:val="24"/>
        </w:rPr>
      </w:pPr>
    </w:p>
    <w:p w:rsidR="00600A30" w:rsidRPr="009C3F69" w:rsidRDefault="00F17C5F" w:rsidP="004A722B">
      <w:pPr>
        <w:pStyle w:val="BlockText"/>
        <w:tabs>
          <w:tab w:val="left" w:pos="0"/>
        </w:tabs>
        <w:spacing w:line="276" w:lineRule="auto"/>
        <w:ind w:left="-360" w:right="0" w:firstLine="0"/>
        <w:rPr>
          <w:rFonts w:ascii="Arial" w:eastAsia="Arial Unicode MS" w:hAnsi="Arial" w:cs="Arial"/>
          <w:sz w:val="24"/>
          <w:szCs w:val="24"/>
        </w:rPr>
      </w:pPr>
      <w:r w:rsidRPr="009C3F69">
        <w:rPr>
          <w:rFonts w:ascii="Arial" w:eastAsia="Arial Unicode MS" w:hAnsi="Arial" w:cs="Arial"/>
          <w:sz w:val="24"/>
          <w:szCs w:val="24"/>
        </w:rPr>
        <w:t>The age long struggle for public interest against repression has made the classless observance of human right, a primary condition for civilized existence. This is measured by the realization of social progress and better standard of life for all humanity.</w:t>
      </w:r>
      <w:r w:rsidRPr="009C3F69">
        <w:rPr>
          <w:rStyle w:val="FootnoteReference"/>
          <w:rFonts w:ascii="Arial" w:eastAsia="Arial Unicode MS" w:hAnsi="Arial" w:cs="Arial"/>
          <w:sz w:val="24"/>
          <w:szCs w:val="24"/>
        </w:rPr>
        <w:footnoteReference w:id="7"/>
      </w:r>
      <w:r w:rsidRPr="009C3F69">
        <w:rPr>
          <w:rFonts w:ascii="Arial" w:eastAsia="Arial Unicode MS" w:hAnsi="Arial" w:cs="Arial"/>
          <w:sz w:val="24"/>
          <w:szCs w:val="24"/>
        </w:rPr>
        <w:t>In Nigeria, ‘human rights’ and ‘fundamental rights’ can be used interchangeably,</w:t>
      </w:r>
      <w:r w:rsidRPr="009C3F69">
        <w:rPr>
          <w:rStyle w:val="FootnoteReference"/>
          <w:rFonts w:ascii="Arial" w:eastAsia="Arial Unicode MS" w:hAnsi="Arial" w:cs="Arial"/>
          <w:sz w:val="24"/>
          <w:szCs w:val="24"/>
        </w:rPr>
        <w:footnoteReference w:id="8"/>
      </w:r>
      <w:r w:rsidRPr="009C3F69">
        <w:rPr>
          <w:rFonts w:ascii="Arial" w:eastAsia="Arial Unicode MS" w:hAnsi="Arial" w:cs="Arial"/>
          <w:sz w:val="24"/>
          <w:szCs w:val="24"/>
        </w:rPr>
        <w:t xml:space="preserve"> this is because the basics of social and economic development have been trampled upon on emergency exploitative scale with its attendant toll on linguistics. The term fundamental human right is of [better] global phrase,</w:t>
      </w:r>
      <w:r w:rsidRPr="009C3F69">
        <w:rPr>
          <w:rStyle w:val="FootnoteReference"/>
          <w:rFonts w:ascii="Arial" w:eastAsia="Arial Unicode MS" w:hAnsi="Arial" w:cs="Arial"/>
          <w:sz w:val="24"/>
          <w:szCs w:val="24"/>
        </w:rPr>
        <w:footnoteReference w:id="9"/>
      </w:r>
      <w:r w:rsidRPr="009C3F69">
        <w:rPr>
          <w:rFonts w:ascii="Arial" w:eastAsia="Arial Unicode MS" w:hAnsi="Arial" w:cs="Arial"/>
          <w:sz w:val="24"/>
          <w:szCs w:val="24"/>
        </w:rPr>
        <w:t xml:space="preserve"> but fundamental rights remain apposite in the realm of domestic law. Every human right is a piece of fundamental right as they are all connected by breath to each other and like gate locked with bars, they cannot be separated. They are fundamental because they have been guaranteed by the fundamental law of the land which is the Constitution.</w:t>
      </w:r>
      <w:r w:rsidRPr="009C3F69">
        <w:rPr>
          <w:rStyle w:val="FootnoteReference"/>
          <w:rFonts w:ascii="Arial" w:eastAsia="Arial Unicode MS" w:hAnsi="Arial" w:cs="Arial"/>
          <w:sz w:val="24"/>
          <w:szCs w:val="24"/>
        </w:rPr>
        <w:footnoteReference w:id="10"/>
      </w:r>
      <w:r w:rsidRPr="009C3F69">
        <w:rPr>
          <w:rFonts w:ascii="Arial" w:eastAsia="Arial Unicode MS" w:hAnsi="Arial" w:cs="Arial"/>
          <w:sz w:val="24"/>
          <w:szCs w:val="24"/>
        </w:rPr>
        <w:t xml:space="preserve">Importantly, fundamental right is a function of history, values, aspirations that define citizenship of a political space. They are personal or collective demands on societies, some of which are specially legislated in the constitution and others are aspiration which enjoys positive prescription by the state. </w:t>
      </w:r>
    </w:p>
    <w:p w:rsidR="00600A30" w:rsidRPr="009C3F69" w:rsidRDefault="00600A30" w:rsidP="004A722B">
      <w:pPr>
        <w:pStyle w:val="BlockText"/>
        <w:tabs>
          <w:tab w:val="left" w:pos="0"/>
        </w:tabs>
        <w:spacing w:line="276" w:lineRule="auto"/>
        <w:ind w:left="-360" w:right="0" w:firstLine="0"/>
        <w:rPr>
          <w:rFonts w:ascii="Arial" w:eastAsia="Arial Unicode MS" w:hAnsi="Arial" w:cs="Arial"/>
          <w:sz w:val="24"/>
          <w:szCs w:val="24"/>
        </w:rPr>
      </w:pPr>
    </w:p>
    <w:p w:rsidR="00600A30" w:rsidRPr="009C3F69" w:rsidRDefault="00F17C5F" w:rsidP="004A722B">
      <w:pPr>
        <w:pStyle w:val="BlockText"/>
        <w:tabs>
          <w:tab w:val="left" w:pos="0"/>
        </w:tabs>
        <w:spacing w:line="276" w:lineRule="auto"/>
        <w:ind w:left="-360" w:right="0" w:firstLine="0"/>
        <w:rPr>
          <w:rFonts w:ascii="Arial" w:eastAsia="Arial Unicode MS" w:hAnsi="Arial" w:cs="Arial"/>
          <w:sz w:val="24"/>
          <w:szCs w:val="24"/>
        </w:rPr>
      </w:pPr>
      <w:r w:rsidRPr="009C3F69">
        <w:rPr>
          <w:rFonts w:ascii="Arial" w:eastAsia="Arial Unicode MS" w:hAnsi="Arial" w:cs="Arial"/>
          <w:sz w:val="24"/>
          <w:szCs w:val="24"/>
        </w:rPr>
        <w:t>The right to information includes being provided with the pattern to contact documents or source containing the desired information including information stored in computer, visual, audio, sound.</w:t>
      </w:r>
      <w:r w:rsidRPr="009C3F69">
        <w:rPr>
          <w:rStyle w:val="FootnoteReference"/>
          <w:rFonts w:ascii="Arial" w:eastAsia="Arial Unicode MS" w:hAnsi="Arial" w:cs="Arial"/>
          <w:sz w:val="24"/>
          <w:szCs w:val="24"/>
        </w:rPr>
        <w:footnoteReference w:id="11"/>
      </w:r>
      <w:r w:rsidRPr="009C3F69">
        <w:rPr>
          <w:rFonts w:ascii="Arial" w:eastAsia="Arial Unicode MS" w:hAnsi="Arial" w:cs="Arial"/>
          <w:sz w:val="24"/>
          <w:szCs w:val="24"/>
        </w:rPr>
        <w:t>It is the availability of public and some categories of private records for consultation or publication with legal authorization. The right to information is the tertiary stage of hard or soft expression and a major test of accessing the degree of liberty which the citizens of a nation have. Also, it is the legal access by individuals to information held by public authorities and favoured big businesses.</w:t>
      </w:r>
      <w:r w:rsidRPr="009C3F69">
        <w:rPr>
          <w:rStyle w:val="FootnoteReference"/>
          <w:rFonts w:ascii="Arial" w:eastAsia="Arial Unicode MS" w:hAnsi="Arial" w:cs="Arial"/>
          <w:sz w:val="24"/>
          <w:szCs w:val="24"/>
        </w:rPr>
        <w:footnoteReference w:id="12"/>
      </w:r>
      <w:r w:rsidRPr="009C3F69">
        <w:rPr>
          <w:rFonts w:ascii="Arial" w:eastAsia="Arial Unicode MS" w:hAnsi="Arial" w:cs="Arial"/>
          <w:sz w:val="24"/>
          <w:szCs w:val="24"/>
        </w:rPr>
        <w:t xml:space="preserve"> It is a prerequisite for meaningful exercise of fundamental, constitutional or legal rights in twenty-first century. Information is a </w:t>
      </w:r>
      <w:r w:rsidRPr="009C3F69">
        <w:rPr>
          <w:rFonts w:ascii="Arial" w:eastAsia="Arial Unicode MS" w:hAnsi="Arial" w:cs="Arial"/>
          <w:sz w:val="24"/>
          <w:szCs w:val="24"/>
        </w:rPr>
        <w:lastRenderedPageBreak/>
        <w:t>ring of life and right to it is a dialogue between decades. The right to information must be exercised by legal process.</w:t>
      </w:r>
      <w:r w:rsidRPr="009C3F69">
        <w:rPr>
          <w:rStyle w:val="FootnoteReference"/>
          <w:rFonts w:ascii="Arial" w:eastAsia="Arial Unicode MS" w:hAnsi="Arial" w:cs="Arial"/>
          <w:sz w:val="24"/>
          <w:szCs w:val="24"/>
        </w:rPr>
        <w:footnoteReference w:id="13"/>
      </w:r>
    </w:p>
    <w:p w:rsidR="00600A30" w:rsidRPr="009C3F69" w:rsidRDefault="00600A30" w:rsidP="004A722B">
      <w:pPr>
        <w:pStyle w:val="BlockText"/>
        <w:tabs>
          <w:tab w:val="left" w:pos="0"/>
        </w:tabs>
        <w:spacing w:line="276" w:lineRule="auto"/>
        <w:ind w:left="0" w:right="0" w:firstLine="0"/>
        <w:rPr>
          <w:rFonts w:ascii="Arial" w:eastAsia="Arial Unicode MS" w:hAnsi="Arial" w:cs="Arial"/>
          <w:sz w:val="24"/>
          <w:szCs w:val="24"/>
        </w:rPr>
      </w:pPr>
    </w:p>
    <w:p w:rsidR="00600A30" w:rsidRPr="009C3F69" w:rsidRDefault="00F17C5F" w:rsidP="004A722B">
      <w:pPr>
        <w:tabs>
          <w:tab w:val="left" w:pos="0"/>
        </w:tabs>
        <w:spacing w:after="0"/>
        <w:ind w:left="-360"/>
        <w:jc w:val="both"/>
        <w:rPr>
          <w:rFonts w:ascii="Arial" w:hAnsi="Arial" w:cs="Arial"/>
          <w:sz w:val="24"/>
          <w:szCs w:val="24"/>
        </w:rPr>
      </w:pPr>
      <w:r w:rsidRPr="009C3F69">
        <w:rPr>
          <w:rFonts w:ascii="Arial" w:hAnsi="Arial" w:cs="Arial"/>
          <w:sz w:val="24"/>
          <w:szCs w:val="24"/>
        </w:rPr>
        <w:t>The right to withhold information by the State overrides the rights of litigants not only in cases of genuine necessity, but in any case government department thought fit.</w:t>
      </w:r>
      <w:r w:rsidRPr="009C3F69">
        <w:rPr>
          <w:rStyle w:val="FootnoteReference"/>
          <w:rFonts w:ascii="Arial" w:hAnsi="Arial" w:cs="Arial"/>
          <w:sz w:val="24"/>
          <w:szCs w:val="24"/>
        </w:rPr>
        <w:footnoteReference w:id="14"/>
      </w:r>
      <w:r w:rsidRPr="009C3F69">
        <w:rPr>
          <w:rFonts w:ascii="Arial" w:hAnsi="Arial" w:cs="Arial"/>
          <w:sz w:val="24"/>
          <w:szCs w:val="24"/>
        </w:rPr>
        <w:t xml:space="preserve">The growing tension between the concern for safety, </w:t>
      </w:r>
      <w:r w:rsidRPr="009C3F69">
        <w:rPr>
          <w:rFonts w:ascii="Arial" w:eastAsia="Arial Unicode MS" w:hAnsi="Arial" w:cs="Arial"/>
          <w:sz w:val="24"/>
          <w:szCs w:val="24"/>
        </w:rPr>
        <w:t>commercial secrecy, individual privacy</w:t>
      </w:r>
      <w:r w:rsidRPr="009C3F69">
        <w:rPr>
          <w:rFonts w:ascii="Arial" w:hAnsi="Arial" w:cs="Arial"/>
          <w:sz w:val="24"/>
          <w:szCs w:val="24"/>
        </w:rPr>
        <w:t xml:space="preserve"> and freedoms is one of the key challenges facing </w:t>
      </w:r>
      <w:r w:rsidRPr="009C3F69">
        <w:rPr>
          <w:rFonts w:ascii="Arial" w:eastAsia="Arial Unicode MS" w:hAnsi="Arial" w:cs="Arial"/>
          <w:sz w:val="24"/>
          <w:szCs w:val="24"/>
        </w:rPr>
        <w:t>access to information today. Public interest tests like corruption, poverty, electoral malpractices, or human rights abuse, abuse of office exist to allow disclosure even though the information is exempt.</w:t>
      </w:r>
      <w:r w:rsidRPr="009C3F69">
        <w:rPr>
          <w:rStyle w:val="FootnoteReference"/>
          <w:rFonts w:ascii="Arial" w:eastAsia="Arial Unicode MS" w:hAnsi="Arial" w:cs="Arial"/>
          <w:sz w:val="24"/>
          <w:szCs w:val="24"/>
        </w:rPr>
        <w:footnoteReference w:id="15"/>
      </w:r>
      <w:r w:rsidRPr="009C3F69">
        <w:rPr>
          <w:rFonts w:ascii="Arial" w:hAnsi="Arial" w:cs="Arial"/>
          <w:sz w:val="24"/>
          <w:szCs w:val="24"/>
        </w:rPr>
        <w:t xml:space="preserve">Freedom of Information Act of  2011 (FOIA) places a premium on the interest that the public shares in their quest to receive and share information, which over time will translate into conservatism because public interest is an end in itself. </w:t>
      </w:r>
      <w:r w:rsidRPr="009C3F69">
        <w:rPr>
          <w:rFonts w:ascii="Arial" w:eastAsia="Arial Unicode MS" w:hAnsi="Arial" w:cs="Arial"/>
          <w:sz w:val="24"/>
          <w:szCs w:val="24"/>
        </w:rPr>
        <w:t>Right to information is a fundamental right of the citizens guaranteed by the constitution, which allows the right to comment freely on matters of public interest.</w:t>
      </w:r>
      <w:r w:rsidRPr="009C3F69">
        <w:rPr>
          <w:rStyle w:val="FootnoteReference"/>
          <w:rFonts w:ascii="Arial" w:eastAsia="Arial Unicode MS" w:hAnsi="Arial" w:cs="Arial"/>
          <w:sz w:val="24"/>
          <w:szCs w:val="24"/>
        </w:rPr>
        <w:footnoteReference w:id="16"/>
      </w:r>
      <w:r w:rsidR="0028498F">
        <w:rPr>
          <w:rFonts w:ascii="Arial" w:eastAsia="Arial Unicode MS" w:hAnsi="Arial" w:cs="Arial"/>
          <w:sz w:val="24"/>
          <w:szCs w:val="24"/>
        </w:rPr>
        <w:t xml:space="preserve"> </w:t>
      </w:r>
      <w:r w:rsidRPr="009C3F69">
        <w:rPr>
          <w:rFonts w:ascii="Arial" w:eastAsia="Arial Unicode MS" w:hAnsi="Arial" w:cs="Arial"/>
          <w:sz w:val="24"/>
          <w:szCs w:val="24"/>
        </w:rPr>
        <w:t xml:space="preserve">A </w:t>
      </w:r>
      <w:r w:rsidRPr="009C3F69">
        <w:rPr>
          <w:rFonts w:ascii="Arial" w:hAnsi="Arial" w:cs="Arial"/>
          <w:sz w:val="24"/>
          <w:szCs w:val="24"/>
        </w:rPr>
        <w:t>reference to the freedom of expression is one of the most commonly used ways to adjudicate individual access to government information.</w:t>
      </w:r>
      <w:r w:rsidRPr="009C3F69">
        <w:rPr>
          <w:rStyle w:val="FootnoteReference"/>
          <w:rFonts w:ascii="Arial" w:hAnsi="Arial" w:cs="Arial"/>
          <w:sz w:val="24"/>
          <w:szCs w:val="24"/>
        </w:rPr>
        <w:footnoteReference w:id="17"/>
      </w:r>
      <w:r w:rsidRPr="009C3F69">
        <w:rPr>
          <w:rFonts w:ascii="Arial" w:eastAsia="Arial Unicode MS" w:hAnsi="Arial" w:cs="Arial"/>
          <w:sz w:val="24"/>
          <w:szCs w:val="24"/>
        </w:rPr>
        <w:t>A complete retrospect into the right of expression is uninspiring without information. This is because information is the ‘stench’ manure that fertilizes expression while expression is the mortar that holds information together. The appetite for expression grows keener with the supply of information. As oxygen to man, so is information to expression because freedom of expression is mute when information about government is inaccessible. It is the legal duty of government to inform the public</w:t>
      </w:r>
      <w:r w:rsidRPr="009C3F69">
        <w:rPr>
          <w:rStyle w:val="FootnoteReference"/>
          <w:rFonts w:ascii="Arial" w:eastAsia="Arial Unicode MS" w:hAnsi="Arial" w:cs="Arial"/>
          <w:sz w:val="24"/>
          <w:szCs w:val="24"/>
        </w:rPr>
        <w:footnoteReference w:id="18"/>
      </w:r>
      <w:r w:rsidRPr="009C3F69">
        <w:rPr>
          <w:rFonts w:ascii="Arial" w:eastAsia="Arial Unicode MS" w:hAnsi="Arial" w:cs="Arial"/>
          <w:sz w:val="24"/>
          <w:szCs w:val="24"/>
        </w:rPr>
        <w:t xml:space="preserve"> and the duty of the public to receive and know such matters and express it.</w:t>
      </w:r>
    </w:p>
    <w:p w:rsidR="00600A30" w:rsidRPr="009C3F69" w:rsidRDefault="00600A30" w:rsidP="004A722B">
      <w:pPr>
        <w:pStyle w:val="FootnoteText"/>
        <w:tabs>
          <w:tab w:val="left" w:pos="0"/>
        </w:tabs>
        <w:spacing w:line="276" w:lineRule="auto"/>
        <w:ind w:left="-360"/>
        <w:jc w:val="both"/>
        <w:rPr>
          <w:rFonts w:ascii="Arial" w:eastAsia="Arial Unicode MS" w:hAnsi="Arial" w:cs="Arial"/>
          <w:sz w:val="24"/>
          <w:szCs w:val="24"/>
        </w:rPr>
      </w:pPr>
    </w:p>
    <w:p w:rsidR="00600A30" w:rsidRPr="009C3F69" w:rsidRDefault="00F17C5F" w:rsidP="004A722B">
      <w:pPr>
        <w:pStyle w:val="FootnoteText"/>
        <w:tabs>
          <w:tab w:val="left" w:pos="0"/>
        </w:tabs>
        <w:spacing w:line="276" w:lineRule="auto"/>
        <w:ind w:left="-360"/>
        <w:jc w:val="both"/>
        <w:rPr>
          <w:rFonts w:ascii="Arial" w:hAnsi="Arial" w:cs="Arial"/>
          <w:sz w:val="24"/>
          <w:szCs w:val="24"/>
        </w:rPr>
      </w:pPr>
      <w:r w:rsidRPr="009C3F69">
        <w:rPr>
          <w:rFonts w:ascii="Arial" w:eastAsia="Arial Unicode MS" w:hAnsi="Arial" w:cs="Arial"/>
          <w:sz w:val="24"/>
          <w:szCs w:val="24"/>
        </w:rPr>
        <w:t xml:space="preserve">The Swedish Freedom of the Press Act of 1766 provides that every Swedish citizen shall be entitled to have free access to official documents so as to encourage the free exchange of opinion and information. A school of thought believes that </w:t>
      </w:r>
      <w:r w:rsidRPr="009C3F69">
        <w:rPr>
          <w:rFonts w:ascii="Arial" w:hAnsi="Arial" w:cs="Arial"/>
          <w:sz w:val="24"/>
          <w:szCs w:val="24"/>
        </w:rPr>
        <w:t xml:space="preserve">the right to information is an autonomous statutory-based right.  This implies that the right to government information is an entitlement derived from FOIA and not an extension of the fundamental right to freedom of expression in the1999 Constitution. Some believe that there is no law that guarantees </w:t>
      </w:r>
      <w:r w:rsidRPr="009C3F69">
        <w:rPr>
          <w:rFonts w:ascii="Arial" w:hAnsi="Arial" w:cs="Arial"/>
          <w:sz w:val="24"/>
          <w:szCs w:val="24"/>
        </w:rPr>
        <w:lastRenderedPageBreak/>
        <w:t>the right to access information about the work of government in Nigeria.</w:t>
      </w:r>
      <w:r w:rsidRPr="009C3F69">
        <w:rPr>
          <w:rStyle w:val="FootnoteReference"/>
          <w:rFonts w:ascii="Arial" w:hAnsi="Arial" w:cs="Arial"/>
          <w:sz w:val="24"/>
          <w:szCs w:val="24"/>
        </w:rPr>
        <w:footnoteReference w:id="19"/>
      </w:r>
      <w:r w:rsidRPr="009C3F69">
        <w:rPr>
          <w:rFonts w:ascii="Arial" w:hAnsi="Arial" w:cs="Arial"/>
          <w:sz w:val="24"/>
          <w:szCs w:val="24"/>
        </w:rPr>
        <w:t>On the converse, common-law jurisdictions are turning towards an interpretation of the right to official information as a rational choice of freedom of expression in accordance with judicial precedents and the principles underlying international law,</w:t>
      </w:r>
      <w:r w:rsidRPr="009C3F69">
        <w:rPr>
          <w:rStyle w:val="FootnoteReference"/>
          <w:rFonts w:ascii="Arial" w:hAnsi="Arial" w:cs="Arial"/>
          <w:sz w:val="24"/>
          <w:szCs w:val="24"/>
        </w:rPr>
        <w:footnoteReference w:id="20"/>
      </w:r>
      <w:r w:rsidRPr="009C3F69">
        <w:rPr>
          <w:rFonts w:ascii="Arial" w:hAnsi="Arial" w:cs="Arial"/>
          <w:sz w:val="24"/>
          <w:szCs w:val="24"/>
        </w:rPr>
        <w:t xml:space="preserve"> where it is specifically mentioned in the constitution or there is a national law to hand on. </w:t>
      </w:r>
      <w:r w:rsidRPr="009C3F69">
        <w:rPr>
          <w:rFonts w:ascii="Arial" w:hAnsi="Arial" w:cs="Arial"/>
          <w:color w:val="141823"/>
          <w:sz w:val="24"/>
          <w:szCs w:val="24"/>
          <w:shd w:val="clear" w:color="auto" w:fill="FFFFFF"/>
        </w:rPr>
        <w:t>Even if the right to information is not freedom of expression and the people believe otherwise, their independent actions might well overcome any contrary conclusion. Safely, right of information can be enforced not because of expression, but rather from the spirit of expression of the new optimism that is kindled by public interest.</w:t>
      </w:r>
    </w:p>
    <w:p w:rsidR="00600A30" w:rsidRPr="009C3F69" w:rsidRDefault="00600A30" w:rsidP="004A722B">
      <w:pPr>
        <w:pStyle w:val="FootnoteText"/>
        <w:tabs>
          <w:tab w:val="left" w:pos="0"/>
        </w:tabs>
        <w:spacing w:line="276" w:lineRule="auto"/>
        <w:ind w:left="-360"/>
        <w:jc w:val="both"/>
        <w:rPr>
          <w:rFonts w:ascii="Arial" w:eastAsia="Arial Unicode MS" w:hAnsi="Arial" w:cs="Arial"/>
          <w:b/>
          <w:sz w:val="24"/>
          <w:szCs w:val="24"/>
        </w:rPr>
      </w:pPr>
    </w:p>
    <w:p w:rsidR="00600A30" w:rsidRPr="009C3F69" w:rsidRDefault="00F17C5F" w:rsidP="004A722B">
      <w:pPr>
        <w:pStyle w:val="FootnoteText"/>
        <w:tabs>
          <w:tab w:val="left" w:pos="0"/>
        </w:tabs>
        <w:spacing w:line="276" w:lineRule="auto"/>
        <w:ind w:left="-360"/>
        <w:jc w:val="both"/>
        <w:rPr>
          <w:rFonts w:ascii="Arial" w:eastAsia="Arial Unicode MS" w:hAnsi="Arial" w:cs="Arial"/>
          <w:b/>
          <w:sz w:val="24"/>
          <w:szCs w:val="24"/>
        </w:rPr>
      </w:pPr>
      <w:r w:rsidRPr="009C3F69">
        <w:rPr>
          <w:rFonts w:ascii="Arial" w:eastAsia="Arial Unicode MS" w:hAnsi="Arial" w:cs="Arial"/>
          <w:b/>
          <w:sz w:val="24"/>
          <w:szCs w:val="24"/>
        </w:rPr>
        <w:tab/>
      </w:r>
      <w:r w:rsidRPr="009C3F69">
        <w:rPr>
          <w:rFonts w:ascii="Arial" w:eastAsia="Arial Unicode MS" w:hAnsi="Arial" w:cs="Arial"/>
          <w:b/>
          <w:sz w:val="24"/>
          <w:szCs w:val="24"/>
        </w:rPr>
        <w:tab/>
      </w:r>
      <w:r w:rsidRPr="009C3F69">
        <w:rPr>
          <w:rFonts w:ascii="Arial" w:eastAsia="Arial Unicode MS" w:hAnsi="Arial" w:cs="Arial"/>
          <w:b/>
          <w:sz w:val="24"/>
          <w:szCs w:val="24"/>
        </w:rPr>
        <w:tab/>
        <w:t>SOURCES OF RIGHT TO INFORMATION</w:t>
      </w:r>
    </w:p>
    <w:p w:rsidR="00600A30" w:rsidRPr="009C3F69" w:rsidRDefault="00F17C5F" w:rsidP="004A722B">
      <w:pPr>
        <w:pStyle w:val="FootnoteText"/>
        <w:tabs>
          <w:tab w:val="left" w:pos="0"/>
        </w:tabs>
        <w:spacing w:line="276" w:lineRule="auto"/>
        <w:ind w:left="-360"/>
        <w:jc w:val="both"/>
        <w:rPr>
          <w:rFonts w:ascii="Arial" w:eastAsia="Arial Unicode MS" w:hAnsi="Arial" w:cs="Arial"/>
          <w:b/>
          <w:sz w:val="24"/>
          <w:szCs w:val="24"/>
        </w:rPr>
      </w:pPr>
      <w:r w:rsidRPr="009C3F69">
        <w:rPr>
          <w:rFonts w:ascii="Arial" w:eastAsia="Arial Unicode MS" w:hAnsi="Arial" w:cs="Arial"/>
          <w:b/>
          <w:sz w:val="24"/>
          <w:szCs w:val="24"/>
        </w:rPr>
        <w:t>A.</w:t>
      </w:r>
      <w:r w:rsidRPr="009C3F69">
        <w:rPr>
          <w:rFonts w:ascii="Arial" w:eastAsia="Arial Unicode MS" w:hAnsi="Arial" w:cs="Arial"/>
          <w:b/>
          <w:sz w:val="24"/>
          <w:szCs w:val="24"/>
        </w:rPr>
        <w:tab/>
      </w:r>
      <w:r w:rsidRPr="009C3F69">
        <w:rPr>
          <w:rFonts w:ascii="Arial" w:eastAsia="Arial Unicode MS" w:hAnsi="Arial" w:cs="Arial"/>
          <w:b/>
          <w:sz w:val="24"/>
          <w:szCs w:val="24"/>
        </w:rPr>
        <w:tab/>
      </w:r>
      <w:r w:rsidRPr="009C3F69">
        <w:rPr>
          <w:rFonts w:ascii="Arial" w:eastAsia="Arial Unicode MS" w:hAnsi="Arial" w:cs="Arial"/>
          <w:b/>
          <w:sz w:val="24"/>
          <w:szCs w:val="24"/>
        </w:rPr>
        <w:tab/>
        <w:t>International Laws as a Source of Information</w:t>
      </w:r>
    </w:p>
    <w:p w:rsidR="00600A30" w:rsidRPr="009C3F69" w:rsidRDefault="00F17C5F" w:rsidP="004A722B">
      <w:pPr>
        <w:pStyle w:val="FootnoteText"/>
        <w:tabs>
          <w:tab w:val="left" w:pos="0"/>
        </w:tabs>
        <w:spacing w:line="276" w:lineRule="auto"/>
        <w:ind w:left="-360"/>
        <w:jc w:val="both"/>
        <w:rPr>
          <w:rFonts w:ascii="Arial" w:hAnsi="Arial" w:cs="Arial"/>
          <w:sz w:val="24"/>
          <w:szCs w:val="24"/>
        </w:rPr>
      </w:pPr>
      <w:r w:rsidRPr="009C3F69">
        <w:rPr>
          <w:rFonts w:ascii="Arial" w:eastAsia="Arial Unicode MS" w:hAnsi="Arial" w:cs="Arial"/>
          <w:sz w:val="24"/>
          <w:szCs w:val="24"/>
        </w:rPr>
        <w:t>The right to access information held by the state including Nigeria is regulated in several international human rights treaties establishing the right of every person to freedom of opinion, expression, including the right to seek, receive and impart information and ideas.</w:t>
      </w:r>
      <w:r w:rsidRPr="009C3F69">
        <w:rPr>
          <w:rStyle w:val="FootnoteReference"/>
          <w:rFonts w:ascii="Arial" w:eastAsia="Arial Unicode MS" w:hAnsi="Arial" w:cs="Arial"/>
          <w:sz w:val="24"/>
          <w:szCs w:val="24"/>
        </w:rPr>
        <w:footnoteReference w:id="21"/>
      </w:r>
      <w:r w:rsidRPr="009C3F69">
        <w:rPr>
          <w:rFonts w:ascii="Arial" w:eastAsia="Arial Unicode MS" w:hAnsi="Arial" w:cs="Arial"/>
          <w:sz w:val="24"/>
          <w:szCs w:val="24"/>
        </w:rPr>
        <w:t xml:space="preserve"> The Inter-American Commission on Human Rights expressly recognized that access to information held by state as a fundamental right of expression every state must guarantee.</w:t>
      </w:r>
      <w:r w:rsidRPr="009C3F69">
        <w:rPr>
          <w:rStyle w:val="FootnoteReference"/>
          <w:rFonts w:ascii="Arial" w:eastAsia="Arial Unicode MS" w:hAnsi="Arial" w:cs="Arial"/>
          <w:sz w:val="24"/>
          <w:szCs w:val="24"/>
        </w:rPr>
        <w:footnoteReference w:id="22"/>
      </w:r>
      <w:r w:rsidRPr="009C3F69">
        <w:rPr>
          <w:rFonts w:ascii="Arial" w:hAnsi="Arial" w:cs="Arial"/>
          <w:sz w:val="24"/>
          <w:szCs w:val="24"/>
        </w:rPr>
        <w:t>UN Human Rights Committee has interpreted Article 19 on freedom of expression in International Convention on Civil and Political Rights to include a right of access to information held by public bodies.</w:t>
      </w:r>
      <w:r w:rsidRPr="009C3F69">
        <w:rPr>
          <w:rStyle w:val="FootnoteReference"/>
          <w:rFonts w:ascii="Arial" w:hAnsi="Arial" w:cs="Arial"/>
          <w:sz w:val="24"/>
          <w:szCs w:val="24"/>
        </w:rPr>
        <w:footnoteReference w:id="23"/>
      </w:r>
      <w:r w:rsidRPr="009C3F69">
        <w:rPr>
          <w:rFonts w:ascii="Arial" w:eastAsia="Arial Unicode MS" w:hAnsi="Arial" w:cs="Arial"/>
          <w:sz w:val="24"/>
          <w:szCs w:val="24"/>
        </w:rPr>
        <w:t xml:space="preserve">Various international treaties and convention </w:t>
      </w:r>
      <w:r w:rsidRPr="009C3F69">
        <w:rPr>
          <w:rFonts w:ascii="Arial" w:eastAsia="Arial Unicode MS" w:hAnsi="Arial" w:cs="Arial"/>
          <w:sz w:val="24"/>
          <w:szCs w:val="24"/>
        </w:rPr>
        <w:lastRenderedPageBreak/>
        <w:t xml:space="preserve">lean credence to the fundamental status of right to information across the globe. </w:t>
      </w:r>
      <w:r w:rsidRPr="009C3F69">
        <w:rPr>
          <w:rFonts w:ascii="Arial" w:hAnsi="Arial" w:cs="Arial"/>
          <w:sz w:val="24"/>
          <w:szCs w:val="24"/>
        </w:rPr>
        <w:t>These views have been welcomed by the UN Commission on Human Rights, composed of fifty three member states of the UN and also by commonwealth nations who signed the document.</w:t>
      </w:r>
      <w:r w:rsidRPr="009C3F69">
        <w:rPr>
          <w:rStyle w:val="FootnoteReference"/>
          <w:rFonts w:ascii="Arial" w:hAnsi="Arial" w:cs="Arial"/>
          <w:sz w:val="24"/>
          <w:szCs w:val="24"/>
        </w:rPr>
        <w:footnoteReference w:id="24"/>
      </w:r>
      <w:r w:rsidRPr="009C3F69">
        <w:rPr>
          <w:rFonts w:ascii="Arial" w:hAnsi="Arial" w:cs="Arial"/>
          <w:sz w:val="24"/>
          <w:szCs w:val="24"/>
        </w:rPr>
        <w:t>The adoption of treaties guaranteeing the principle of publicity of documents is accompanied by acknowledgement of the right of access to information about all human rights and fundamental freedoms in a number of UN Declarations.</w:t>
      </w:r>
      <w:r w:rsidRPr="009C3F69">
        <w:rPr>
          <w:rStyle w:val="FootnoteReference"/>
          <w:rFonts w:ascii="Arial" w:hAnsi="Arial" w:cs="Arial"/>
          <w:sz w:val="24"/>
          <w:szCs w:val="24"/>
        </w:rPr>
        <w:footnoteReference w:id="25"/>
      </w:r>
      <w:r w:rsidRPr="009C3F69">
        <w:rPr>
          <w:rFonts w:ascii="Arial" w:hAnsi="Arial" w:cs="Arial"/>
          <w:sz w:val="24"/>
          <w:szCs w:val="24"/>
        </w:rPr>
        <w:t xml:space="preserve"> Everyone has the right, individually and in association with others to know how the right to information and freedom of expression are given effect in domestic legislative, judicial or administrative systems.</w:t>
      </w:r>
      <w:r w:rsidRPr="009C3F69">
        <w:rPr>
          <w:rStyle w:val="FootnoteReference"/>
          <w:rFonts w:ascii="Arial" w:hAnsi="Arial" w:cs="Arial"/>
          <w:sz w:val="24"/>
          <w:szCs w:val="24"/>
        </w:rPr>
        <w:footnoteReference w:id="26"/>
      </w:r>
      <w:r w:rsidRPr="009C3F69">
        <w:rPr>
          <w:rFonts w:ascii="Arial" w:hAnsi="Arial" w:cs="Arial"/>
          <w:sz w:val="24"/>
          <w:szCs w:val="24"/>
        </w:rPr>
        <w:t>The</w:t>
      </w:r>
      <w:r w:rsidRPr="009C3F69">
        <w:rPr>
          <w:rFonts w:ascii="Arial" w:hAnsi="Arial" w:cs="Arial"/>
          <w:iCs/>
          <w:sz w:val="24"/>
          <w:szCs w:val="24"/>
        </w:rPr>
        <w:t xml:space="preserve"> International Convention on the Protection of the Rights of All Migrant Workers and Members of their Families </w:t>
      </w:r>
      <w:r w:rsidRPr="009C3F69">
        <w:rPr>
          <w:rFonts w:ascii="Arial" w:hAnsi="Arial" w:cs="Arial"/>
          <w:sz w:val="24"/>
          <w:szCs w:val="24"/>
        </w:rPr>
        <w:t>guarantees</w:t>
      </w:r>
      <w:r w:rsidRPr="009C3F69">
        <w:rPr>
          <w:rFonts w:ascii="Arial" w:eastAsia="Calibri" w:hAnsi="Arial" w:cs="Arial"/>
          <w:sz w:val="24"/>
          <w:szCs w:val="24"/>
        </w:rPr>
        <w:t xml:space="preserve"> migrant workers and their families the right to be informed of the protection and assistance of the diplomatic authorities of the state of origin whenever their rights are impaired, in particular, in case of expulsion.</w:t>
      </w:r>
      <w:r w:rsidRPr="009C3F69">
        <w:rPr>
          <w:rStyle w:val="FootnoteReference"/>
          <w:rFonts w:ascii="Arial" w:eastAsia="Calibri" w:hAnsi="Arial" w:cs="Arial"/>
          <w:sz w:val="24"/>
          <w:szCs w:val="24"/>
        </w:rPr>
        <w:footnoteReference w:id="27"/>
      </w:r>
      <w:r w:rsidRPr="009C3F69">
        <w:rPr>
          <w:rFonts w:ascii="Arial" w:eastAsia="Arial Unicode MS" w:hAnsi="Arial" w:cs="Arial"/>
          <w:sz w:val="24"/>
          <w:szCs w:val="24"/>
        </w:rPr>
        <w:t xml:space="preserve">There is also </w:t>
      </w:r>
      <w:r w:rsidRPr="009C3F69">
        <w:rPr>
          <w:rFonts w:ascii="Arial" w:eastAsia="Calibri" w:hAnsi="Arial" w:cs="Arial"/>
          <w:sz w:val="24"/>
          <w:szCs w:val="24"/>
        </w:rPr>
        <w:t>UN Framework Convention on Climate Change</w:t>
      </w:r>
      <w:r w:rsidRPr="009C3F69">
        <w:rPr>
          <w:rStyle w:val="FootnoteReference"/>
          <w:rFonts w:ascii="Arial" w:eastAsia="Calibri" w:hAnsi="Arial" w:cs="Arial"/>
          <w:sz w:val="24"/>
          <w:szCs w:val="24"/>
        </w:rPr>
        <w:footnoteReference w:id="28"/>
      </w:r>
      <w:r w:rsidRPr="009C3F69">
        <w:rPr>
          <w:rFonts w:ascii="Arial" w:eastAsia="Calibri" w:hAnsi="Arial" w:cs="Arial"/>
          <w:sz w:val="24"/>
          <w:szCs w:val="24"/>
        </w:rPr>
        <w:t xml:space="preserve"> which facilitates public access to information on climate change. There is a public duty on public authorities to disseminate and without any delay environmental information of imminent threat to human health or the environment</w:t>
      </w:r>
      <w:r w:rsidRPr="009C3F69">
        <w:rPr>
          <w:rStyle w:val="FootnoteReference"/>
          <w:rFonts w:ascii="Arial" w:eastAsia="Calibri" w:hAnsi="Arial" w:cs="Arial"/>
          <w:sz w:val="24"/>
          <w:szCs w:val="24"/>
        </w:rPr>
        <w:footnoteReference w:id="29"/>
      </w:r>
      <w:r w:rsidRPr="009C3F69">
        <w:rPr>
          <w:rFonts w:ascii="Arial" w:eastAsia="Calibri" w:hAnsi="Arial" w:cs="Arial"/>
          <w:sz w:val="24"/>
          <w:szCs w:val="24"/>
        </w:rPr>
        <w:t xml:space="preserve"> and also severely restricted chemicals and hazardous pesticide formulations that may impact on human health and the environment.</w:t>
      </w:r>
      <w:r w:rsidRPr="009C3F69">
        <w:rPr>
          <w:rStyle w:val="FootnoteReference"/>
          <w:rFonts w:ascii="Arial" w:eastAsia="Calibri" w:hAnsi="Arial" w:cs="Arial"/>
          <w:sz w:val="24"/>
          <w:szCs w:val="24"/>
        </w:rPr>
        <w:footnoteReference w:id="30"/>
      </w:r>
      <w:r w:rsidRPr="009C3F69">
        <w:rPr>
          <w:rFonts w:ascii="Arial" w:hAnsi="Arial" w:cs="Arial"/>
          <w:sz w:val="24"/>
          <w:szCs w:val="24"/>
        </w:rPr>
        <w:t>Since these treaties have been incorporated into Nigeria laws by due steps of political actors, it will take more than a surgery and less of judicial legislation to separate freedom of expression from right to information.</w:t>
      </w:r>
    </w:p>
    <w:p w:rsidR="00600A30" w:rsidRPr="009C3F69" w:rsidRDefault="00600A30" w:rsidP="004A722B">
      <w:pPr>
        <w:pStyle w:val="FootnoteText"/>
        <w:tabs>
          <w:tab w:val="left" w:pos="0"/>
        </w:tabs>
        <w:spacing w:line="276" w:lineRule="auto"/>
        <w:ind w:left="-360"/>
        <w:jc w:val="both"/>
        <w:rPr>
          <w:rFonts w:ascii="Arial" w:eastAsia="Arial Unicode MS" w:hAnsi="Arial" w:cs="Arial"/>
          <w:sz w:val="24"/>
          <w:szCs w:val="24"/>
        </w:rPr>
      </w:pPr>
    </w:p>
    <w:p w:rsidR="00600A30" w:rsidRPr="009C3F69" w:rsidRDefault="00F17C5F" w:rsidP="004A722B">
      <w:pPr>
        <w:pStyle w:val="FootnoteText"/>
        <w:tabs>
          <w:tab w:val="left" w:pos="0"/>
        </w:tabs>
        <w:spacing w:line="276" w:lineRule="auto"/>
        <w:ind w:left="-360"/>
        <w:jc w:val="both"/>
        <w:rPr>
          <w:rFonts w:ascii="Arial" w:eastAsia="Calibri" w:hAnsi="Arial" w:cs="Arial"/>
          <w:sz w:val="24"/>
          <w:szCs w:val="24"/>
        </w:rPr>
      </w:pPr>
      <w:r w:rsidRPr="009C3F69">
        <w:rPr>
          <w:rFonts w:ascii="Arial" w:eastAsia="Arial Unicode MS" w:hAnsi="Arial" w:cs="Arial"/>
          <w:sz w:val="24"/>
          <w:szCs w:val="24"/>
        </w:rPr>
        <w:t>Upon being admitted to membership of the UN as the 99</w:t>
      </w:r>
      <w:r w:rsidRPr="009C3F69">
        <w:rPr>
          <w:rFonts w:ascii="Arial" w:eastAsia="Arial Unicode MS" w:hAnsi="Arial" w:cs="Arial"/>
          <w:sz w:val="24"/>
          <w:szCs w:val="24"/>
          <w:vertAlign w:val="superscript"/>
        </w:rPr>
        <w:t>th</w:t>
      </w:r>
      <w:r w:rsidRPr="009C3F69">
        <w:rPr>
          <w:rFonts w:ascii="Arial" w:eastAsia="Arial Unicode MS" w:hAnsi="Arial" w:cs="Arial"/>
          <w:sz w:val="24"/>
          <w:szCs w:val="24"/>
        </w:rPr>
        <w:t xml:space="preserve"> member, Nigeria adopted UN treaties and conventions as part of her treaty obligations and domesticated same in the Constitution of Federal Republic of Nigeria (Constitution) 1999 which guarantees the fundamental rights to freedom of expression, ideas, opinion and information without interference. </w:t>
      </w:r>
      <w:r w:rsidRPr="009C3F69">
        <w:rPr>
          <w:rFonts w:ascii="Arial" w:eastAsia="Calibri" w:hAnsi="Arial" w:cs="Arial"/>
          <w:sz w:val="24"/>
          <w:szCs w:val="24"/>
        </w:rPr>
        <w:t xml:space="preserve">Being signatory to international charters and treaties, open government </w:t>
      </w:r>
      <w:r w:rsidRPr="009C3F69">
        <w:rPr>
          <w:rFonts w:ascii="Arial" w:eastAsia="Calibri" w:hAnsi="Arial" w:cs="Arial"/>
          <w:sz w:val="24"/>
          <w:szCs w:val="24"/>
        </w:rPr>
        <w:lastRenderedPageBreak/>
        <w:t>became part of the national laws and the National Human Rights Commission</w:t>
      </w:r>
      <w:r w:rsidRPr="009C3F69">
        <w:rPr>
          <w:rStyle w:val="FootnoteReference"/>
          <w:rFonts w:ascii="Arial" w:eastAsia="Calibri" w:hAnsi="Arial" w:cs="Arial"/>
          <w:sz w:val="24"/>
          <w:szCs w:val="24"/>
        </w:rPr>
        <w:footnoteReference w:id="31"/>
      </w:r>
      <w:r w:rsidRPr="009C3F69">
        <w:rPr>
          <w:rFonts w:ascii="Arial" w:eastAsia="Calibri" w:hAnsi="Arial" w:cs="Arial"/>
          <w:sz w:val="24"/>
          <w:szCs w:val="24"/>
        </w:rPr>
        <w:t xml:space="preserve"> was set up to implement these laws. UN has consistently declared that the right to information is a qualified fundamental right that should be given effect to at the national level through comprehensive national legislation based on the principle of maximum disclosure, subject only to a narrow system of exceptions.</w:t>
      </w:r>
      <w:r w:rsidRPr="009C3F69">
        <w:rPr>
          <w:rStyle w:val="FootnoteReference"/>
          <w:rFonts w:ascii="Arial" w:eastAsia="Calibri" w:hAnsi="Arial" w:cs="Arial"/>
          <w:sz w:val="24"/>
          <w:szCs w:val="24"/>
        </w:rPr>
        <w:footnoteReference w:id="32"/>
      </w:r>
      <w:r w:rsidRPr="009C3F69">
        <w:rPr>
          <w:rFonts w:ascii="Arial" w:eastAsia="Calibri" w:hAnsi="Arial" w:cs="Arial"/>
          <w:sz w:val="24"/>
          <w:szCs w:val="24"/>
        </w:rPr>
        <w:t>An international treaty pre-1960 requires no domestication and cannot be affected by section 12 (1) of the 1999 Constitution of Nigeria.</w:t>
      </w:r>
      <w:r w:rsidRPr="009C3F69">
        <w:rPr>
          <w:rStyle w:val="FootnoteReference"/>
          <w:rFonts w:ascii="Arial" w:eastAsia="Calibri" w:hAnsi="Arial" w:cs="Arial"/>
          <w:sz w:val="24"/>
          <w:szCs w:val="24"/>
        </w:rPr>
        <w:footnoteReference w:id="33"/>
      </w:r>
      <w:r w:rsidRPr="009C3F69">
        <w:rPr>
          <w:rFonts w:ascii="Arial" w:eastAsia="Calibri" w:hAnsi="Arial" w:cs="Arial"/>
          <w:sz w:val="24"/>
          <w:szCs w:val="24"/>
        </w:rPr>
        <w:t xml:space="preserve"> All international treaties entered into by Nigeria before 1960 required no domestication and is deemed to be an enactment of the National Assembly and requires no further legislative acts such as ratification, domestication or adoption before its provision can be implemented in Nigeria. </w:t>
      </w:r>
      <w:r w:rsidRPr="009C3F69">
        <w:rPr>
          <w:rFonts w:ascii="Arial" w:eastAsia="Arial Unicode MS" w:hAnsi="Arial" w:cs="Arial"/>
          <w:sz w:val="24"/>
          <w:szCs w:val="24"/>
        </w:rPr>
        <w:t>Specifically, chapter 2 of the 1999 Constitution was adopted from the Indian Constitution; Bill of Rights of 1959 and Universal Declaration of Human Rights of 1948 that was guaranteed in the 1960 Constitution of Nigeria was largely borrowed from the European Convention on Human Rights as well as the Constitution of Pakistan and Malaysia.</w:t>
      </w:r>
      <w:r w:rsidRPr="009C3F69">
        <w:rPr>
          <w:rStyle w:val="FootnoteReference"/>
          <w:rFonts w:ascii="Arial" w:eastAsia="Arial Unicode MS" w:hAnsi="Arial" w:cs="Arial"/>
          <w:sz w:val="24"/>
          <w:szCs w:val="24"/>
        </w:rPr>
        <w:footnoteReference w:id="34"/>
      </w:r>
      <w:r w:rsidRPr="009C3F69">
        <w:rPr>
          <w:rFonts w:ascii="Arial" w:eastAsia="Arial Unicode MS" w:hAnsi="Arial" w:cs="Arial"/>
          <w:sz w:val="24"/>
          <w:szCs w:val="24"/>
        </w:rPr>
        <w:t xml:space="preserve"> International law is usually incorporated into national law so that it can be enforced directly through domestic laws or in the interest of towering foreign aids. International law signed by military president is given due recognition by democratic government as if it was made by democratic government.</w:t>
      </w:r>
      <w:r w:rsidRPr="009C3F69">
        <w:rPr>
          <w:rStyle w:val="FootnoteReference"/>
          <w:rFonts w:ascii="Arial" w:eastAsia="Arial Unicode MS" w:hAnsi="Arial" w:cs="Arial"/>
          <w:sz w:val="24"/>
          <w:szCs w:val="24"/>
        </w:rPr>
        <w:footnoteReference w:id="35"/>
      </w:r>
    </w:p>
    <w:p w:rsidR="00600A30" w:rsidRPr="009C3F69" w:rsidRDefault="00600A30" w:rsidP="004A722B">
      <w:pPr>
        <w:pStyle w:val="FootnoteText"/>
        <w:tabs>
          <w:tab w:val="left" w:pos="0"/>
        </w:tabs>
        <w:spacing w:line="276" w:lineRule="auto"/>
        <w:jc w:val="both"/>
        <w:rPr>
          <w:rFonts w:ascii="Arial" w:eastAsia="Arial Unicode MS" w:hAnsi="Arial" w:cs="Arial"/>
          <w:sz w:val="24"/>
          <w:szCs w:val="24"/>
        </w:rPr>
      </w:pPr>
    </w:p>
    <w:p w:rsidR="00600A30" w:rsidRPr="009C3F69" w:rsidRDefault="00F17C5F" w:rsidP="004A722B">
      <w:pPr>
        <w:pStyle w:val="FootnoteText"/>
        <w:tabs>
          <w:tab w:val="left" w:pos="0"/>
        </w:tabs>
        <w:spacing w:line="276" w:lineRule="auto"/>
        <w:ind w:left="-360"/>
        <w:jc w:val="both"/>
        <w:rPr>
          <w:rFonts w:ascii="Arial" w:hAnsi="Arial" w:cs="Arial"/>
          <w:sz w:val="24"/>
          <w:szCs w:val="24"/>
        </w:rPr>
      </w:pPr>
      <w:r w:rsidRPr="009C3F69">
        <w:rPr>
          <w:rFonts w:ascii="Arial" w:eastAsia="Arial Unicode MS" w:hAnsi="Arial" w:cs="Arial"/>
          <w:sz w:val="24"/>
          <w:szCs w:val="24"/>
        </w:rPr>
        <w:t>Nigeria is a signatory to several international laws that guarantee the right to public information as a fundamental right. Specifically, the</w:t>
      </w:r>
      <w:r w:rsidRPr="009C3F69">
        <w:rPr>
          <w:rFonts w:ascii="Arial" w:hAnsi="Arial" w:cs="Arial"/>
          <w:sz w:val="24"/>
          <w:szCs w:val="24"/>
        </w:rPr>
        <w:t xml:space="preserve"> Convention on the Rights of the Child</w:t>
      </w:r>
      <w:r w:rsidRPr="009C3F69">
        <w:rPr>
          <w:rStyle w:val="FootnoteReference"/>
          <w:rFonts w:ascii="Arial" w:hAnsi="Arial" w:cs="Arial"/>
          <w:sz w:val="24"/>
          <w:szCs w:val="24"/>
        </w:rPr>
        <w:footnoteReference w:id="36"/>
      </w:r>
      <w:r w:rsidRPr="009C3F69">
        <w:rPr>
          <w:rFonts w:ascii="Arial" w:eastAsia="Arial Unicode MS" w:hAnsi="Arial" w:cs="Arial"/>
          <w:sz w:val="24"/>
          <w:szCs w:val="24"/>
        </w:rPr>
        <w:t>and the International Covenant on Economic, Social and Cultural Rights (ESCR)</w:t>
      </w:r>
      <w:r w:rsidRPr="009C3F69">
        <w:rPr>
          <w:rStyle w:val="FootnoteReference"/>
          <w:rFonts w:ascii="Arial" w:eastAsia="Arial Unicode MS" w:hAnsi="Arial" w:cs="Arial"/>
          <w:sz w:val="24"/>
          <w:szCs w:val="24"/>
        </w:rPr>
        <w:footnoteReference w:id="37"/>
      </w:r>
      <w:r w:rsidRPr="009C3F69">
        <w:rPr>
          <w:rFonts w:ascii="Arial" w:eastAsia="Arial Unicode MS" w:hAnsi="Arial" w:cs="Arial"/>
          <w:sz w:val="24"/>
          <w:szCs w:val="24"/>
        </w:rPr>
        <w:t xml:space="preserve"> provides for the right to access periodic governmental information related to economic, social and cultural rights in order to facilitate public examination of policies and stimulate participation among diverse sectors of society. </w:t>
      </w:r>
      <w:r w:rsidRPr="009C3F69">
        <w:rPr>
          <w:rFonts w:ascii="Arial" w:hAnsi="Arial" w:cs="Arial"/>
          <w:sz w:val="24"/>
          <w:szCs w:val="24"/>
        </w:rPr>
        <w:t xml:space="preserve">The past two decades have witnessed a rise of a global movement in promoting access to information, entailing several NGOs campaigning for access to government information, such as </w:t>
      </w:r>
      <w:r w:rsidRPr="009C3F69">
        <w:rPr>
          <w:rFonts w:ascii="Arial" w:hAnsi="Arial" w:cs="Arial"/>
          <w:iCs/>
          <w:sz w:val="24"/>
          <w:szCs w:val="24"/>
        </w:rPr>
        <w:t>Transparency International</w:t>
      </w:r>
      <w:r w:rsidRPr="009C3F69">
        <w:rPr>
          <w:rFonts w:ascii="Arial" w:hAnsi="Arial" w:cs="Arial"/>
          <w:sz w:val="24"/>
          <w:szCs w:val="24"/>
        </w:rPr>
        <w:t xml:space="preserve">, </w:t>
      </w:r>
      <w:r w:rsidRPr="009C3F69">
        <w:rPr>
          <w:rFonts w:ascii="Arial" w:eastAsia="Times New Roman,Italic" w:hAnsi="Arial" w:cs="Arial"/>
          <w:iCs/>
          <w:sz w:val="24"/>
          <w:szCs w:val="24"/>
        </w:rPr>
        <w:t xml:space="preserve">Article 19 Global Campaign for </w:t>
      </w:r>
      <w:r w:rsidRPr="009C3F69">
        <w:rPr>
          <w:rFonts w:ascii="Arial" w:hAnsi="Arial" w:cs="Arial"/>
          <w:iCs/>
          <w:sz w:val="24"/>
          <w:szCs w:val="24"/>
        </w:rPr>
        <w:t>Freedom of Expression</w:t>
      </w:r>
      <w:r w:rsidRPr="009C3F69">
        <w:rPr>
          <w:rFonts w:ascii="Arial" w:hAnsi="Arial" w:cs="Arial"/>
          <w:sz w:val="24"/>
          <w:szCs w:val="24"/>
        </w:rPr>
        <w:t>,</w:t>
      </w:r>
      <w:r w:rsidRPr="009C3F69">
        <w:rPr>
          <w:rFonts w:ascii="Arial" w:hAnsi="Arial" w:cs="Arial"/>
          <w:iCs/>
          <w:sz w:val="24"/>
          <w:szCs w:val="24"/>
        </w:rPr>
        <w:t xml:space="preserve"> Open Society Justice Initiative</w:t>
      </w:r>
      <w:r w:rsidRPr="009C3F69">
        <w:rPr>
          <w:rFonts w:ascii="Arial" w:hAnsi="Arial" w:cs="Arial"/>
          <w:sz w:val="24"/>
          <w:szCs w:val="24"/>
        </w:rPr>
        <w:t xml:space="preserve">, </w:t>
      </w:r>
      <w:r w:rsidRPr="009C3F69">
        <w:rPr>
          <w:rFonts w:ascii="Arial" w:hAnsi="Arial" w:cs="Arial"/>
          <w:iCs/>
          <w:sz w:val="24"/>
          <w:szCs w:val="24"/>
        </w:rPr>
        <w:t>Global Transparency Initiative</w:t>
      </w:r>
      <w:r w:rsidRPr="009C3F69">
        <w:rPr>
          <w:rFonts w:ascii="Arial" w:hAnsi="Arial" w:cs="Arial"/>
          <w:sz w:val="24"/>
          <w:szCs w:val="24"/>
        </w:rPr>
        <w:t xml:space="preserve"> and </w:t>
      </w:r>
      <w:r w:rsidRPr="009C3F69">
        <w:rPr>
          <w:rFonts w:ascii="Arial" w:hAnsi="Arial" w:cs="Arial"/>
          <w:iCs/>
          <w:sz w:val="24"/>
          <w:szCs w:val="24"/>
        </w:rPr>
        <w:t>the Commonwealth Human Rights Initiative</w:t>
      </w:r>
      <w:r w:rsidRPr="009C3F69">
        <w:rPr>
          <w:rFonts w:ascii="Arial" w:hAnsi="Arial" w:cs="Arial"/>
          <w:sz w:val="24"/>
          <w:szCs w:val="24"/>
        </w:rPr>
        <w:t>.</w:t>
      </w:r>
      <w:r w:rsidRPr="009C3F69">
        <w:rPr>
          <w:rStyle w:val="FootnoteReference"/>
          <w:rFonts w:ascii="Arial" w:hAnsi="Arial" w:cs="Arial"/>
          <w:sz w:val="24"/>
          <w:szCs w:val="24"/>
        </w:rPr>
        <w:footnoteReference w:id="38"/>
      </w:r>
      <w:r w:rsidRPr="009C3F69">
        <w:rPr>
          <w:rFonts w:ascii="Arial" w:hAnsi="Arial" w:cs="Arial"/>
          <w:sz w:val="24"/>
          <w:szCs w:val="24"/>
        </w:rPr>
        <w:t xml:space="preserve"> Extensive discussions initiated by national, regional and international NGOs represent the grassroots developments towards the recognition of the right to official information and lobbying </w:t>
      </w:r>
      <w:r w:rsidRPr="009C3F69">
        <w:rPr>
          <w:rFonts w:ascii="Arial" w:hAnsi="Arial" w:cs="Arial"/>
          <w:sz w:val="24"/>
          <w:szCs w:val="24"/>
        </w:rPr>
        <w:lastRenderedPageBreak/>
        <w:t>activities.</w:t>
      </w:r>
      <w:r w:rsidRPr="009C3F69">
        <w:rPr>
          <w:rStyle w:val="FootnoteReference"/>
          <w:rFonts w:ascii="Arial" w:hAnsi="Arial" w:cs="Arial"/>
          <w:sz w:val="24"/>
          <w:szCs w:val="24"/>
        </w:rPr>
        <w:footnoteReference w:id="39"/>
      </w:r>
      <w:r w:rsidRPr="009C3F69">
        <w:rPr>
          <w:rFonts w:ascii="Arial" w:hAnsi="Arial" w:cs="Arial"/>
          <w:sz w:val="24"/>
          <w:szCs w:val="24"/>
        </w:rPr>
        <w:t xml:space="preserve"> These NGOs have assisted international and domestic human rights law</w:t>
      </w:r>
      <w:r w:rsidRPr="009C3F69">
        <w:rPr>
          <w:rStyle w:val="FootnoteReference"/>
          <w:rFonts w:ascii="Arial" w:hAnsi="Arial" w:cs="Arial"/>
          <w:sz w:val="24"/>
          <w:szCs w:val="24"/>
        </w:rPr>
        <w:footnoteReference w:id="40"/>
      </w:r>
      <w:r w:rsidRPr="009C3F69">
        <w:rPr>
          <w:rFonts w:ascii="Arial" w:hAnsi="Arial" w:cs="Arial"/>
          <w:sz w:val="24"/>
          <w:szCs w:val="24"/>
        </w:rPr>
        <w:t xml:space="preserve">and groups on access to information touching on national practice through research, community service and amicus curia brief. </w:t>
      </w:r>
    </w:p>
    <w:p w:rsidR="00600A30" w:rsidRPr="009C3F69" w:rsidRDefault="00600A30" w:rsidP="004A722B">
      <w:pPr>
        <w:pStyle w:val="FootnoteText"/>
        <w:tabs>
          <w:tab w:val="left" w:pos="0"/>
        </w:tabs>
        <w:spacing w:line="276" w:lineRule="auto"/>
        <w:ind w:left="-360"/>
        <w:jc w:val="both"/>
        <w:rPr>
          <w:rFonts w:ascii="Arial" w:hAnsi="Arial" w:cs="Arial"/>
          <w:sz w:val="24"/>
          <w:szCs w:val="24"/>
        </w:rPr>
      </w:pPr>
    </w:p>
    <w:p w:rsidR="00600A30" w:rsidRPr="009C3F69" w:rsidRDefault="00F17C5F" w:rsidP="004A722B">
      <w:pPr>
        <w:pStyle w:val="ListParagraph1"/>
        <w:tabs>
          <w:tab w:val="left" w:pos="0"/>
        </w:tabs>
        <w:autoSpaceDE w:val="0"/>
        <w:autoSpaceDN w:val="0"/>
        <w:adjustRightInd w:val="0"/>
        <w:spacing w:after="0"/>
        <w:ind w:left="-360"/>
        <w:jc w:val="both"/>
        <w:rPr>
          <w:rFonts w:ascii="Arial" w:hAnsi="Arial" w:cs="Arial"/>
          <w:sz w:val="24"/>
          <w:szCs w:val="24"/>
        </w:rPr>
      </w:pPr>
      <w:r w:rsidRPr="009C3F69">
        <w:rPr>
          <w:rFonts w:ascii="Arial" w:hAnsi="Arial" w:cs="Arial"/>
          <w:color w:val="000000"/>
          <w:sz w:val="24"/>
          <w:szCs w:val="24"/>
        </w:rPr>
        <w:t xml:space="preserve">In a country obsessed with spoils of leadership and trappings of power, engagement of civil society organizations and communities in monitoring disclosure and facilitating campaigns increases citizens’ awareness or participation and request for public information. </w:t>
      </w:r>
      <w:r w:rsidRPr="009C3F69">
        <w:rPr>
          <w:rFonts w:ascii="Arial" w:hAnsi="Arial" w:cs="Arial"/>
          <w:sz w:val="24"/>
          <w:szCs w:val="24"/>
        </w:rPr>
        <w:t>There is plethora of transparency and accountability groups in Nigeria. They include, but not limited to Connect Code Development Initiative, Socio- Economic Rights &amp; Accountability Project (SERAP), Africa Network for Economic and Environmental Justice, BudgIT and Foundation for Good Governance and Social Change (FFGGSC). BudgIT was founded in the year 2011 targeted at simplifying public information through info graphics. Connect Code is concerned with the process of budgetary appropriation as much as the budgetary implementation. In tracing the N9.2 Billion appropriated to Ministry of Environment for the supply of 750,000 clean cook stoves in the year 2015, Connect Code wrote three FOI requests to government agencies and the project contractor seeking to know how the money was expended. Also, Socio Economic Rights and Accountability Project (SERAP) are concerned with promoting transparency and accountability in the distribution of nation’s cake resources just like Africa Network for Economic and Environmental Justice (ANEEJ) and FFGGSC. There is also Freedom of Information Coalition, founded in the year 2000 with a vigorous campaign for the passage of the FOIA and its implementation. The group has now centered its effort on e-reporting of FOI litigation. Foundation for Good Governance and Social Change (FFGGSC) led other NGOs to make an application under FOIA to compel Edo State Agency for the Control of Aids (EDOSACA) to disclose the beneficiaries of World Bank grant for HIV/AIDS Program Development Project (HPDP II) and information relating to funding received from both Edo State Government and other international donors.</w:t>
      </w:r>
      <w:r w:rsidRPr="009C3F69">
        <w:rPr>
          <w:rStyle w:val="FootnoteReference"/>
          <w:rFonts w:ascii="Arial" w:hAnsi="Arial" w:cs="Arial"/>
          <w:sz w:val="24"/>
          <w:szCs w:val="24"/>
        </w:rPr>
        <w:footnoteReference w:id="41"/>
      </w:r>
      <w:r w:rsidRPr="009C3F69">
        <w:rPr>
          <w:rFonts w:ascii="Arial" w:hAnsi="Arial" w:cs="Arial"/>
          <w:sz w:val="24"/>
          <w:szCs w:val="24"/>
        </w:rPr>
        <w:t xml:space="preserve"> This case enlarged the number of the beneficiaries of the World Bank grant for HIV/AIDS Program fund. These NGOs have worked tirelessly for a transparent Nigeria mainly with the aid of the internet which does not get traction among rural dwellers and so making monitoring and the implementation of right to information at the grassroots cumbersome.</w:t>
      </w:r>
    </w:p>
    <w:p w:rsidR="00600A30" w:rsidRPr="009C3F69" w:rsidRDefault="00600A30" w:rsidP="004A722B">
      <w:pPr>
        <w:pStyle w:val="ListParagraph1"/>
        <w:tabs>
          <w:tab w:val="left" w:pos="0"/>
        </w:tabs>
        <w:autoSpaceDE w:val="0"/>
        <w:autoSpaceDN w:val="0"/>
        <w:adjustRightInd w:val="0"/>
        <w:spacing w:after="0"/>
        <w:ind w:left="-360"/>
        <w:jc w:val="both"/>
        <w:rPr>
          <w:rFonts w:ascii="Arial" w:hAnsi="Arial" w:cs="Arial"/>
          <w:sz w:val="24"/>
          <w:szCs w:val="24"/>
        </w:rPr>
      </w:pPr>
    </w:p>
    <w:p w:rsidR="00600A30" w:rsidRPr="009C3F69" w:rsidRDefault="00F17C5F" w:rsidP="004A722B">
      <w:pPr>
        <w:pStyle w:val="FootnoteText"/>
        <w:tabs>
          <w:tab w:val="left" w:pos="0"/>
        </w:tabs>
        <w:spacing w:line="276" w:lineRule="auto"/>
        <w:ind w:left="-360"/>
        <w:jc w:val="both"/>
        <w:rPr>
          <w:rFonts w:ascii="Arial" w:eastAsia="Arial Unicode MS" w:hAnsi="Arial" w:cs="Arial"/>
          <w:b/>
          <w:sz w:val="24"/>
          <w:szCs w:val="24"/>
        </w:rPr>
      </w:pPr>
      <w:r w:rsidRPr="009C3F69">
        <w:rPr>
          <w:rFonts w:ascii="Arial" w:eastAsia="Arial Unicode MS" w:hAnsi="Arial" w:cs="Arial"/>
          <w:b/>
          <w:sz w:val="24"/>
          <w:szCs w:val="24"/>
        </w:rPr>
        <w:lastRenderedPageBreak/>
        <w:t>B</w:t>
      </w:r>
      <w:r w:rsidRPr="009C3F69">
        <w:rPr>
          <w:rFonts w:ascii="Arial" w:eastAsia="Arial Unicode MS" w:hAnsi="Arial" w:cs="Arial"/>
          <w:b/>
          <w:sz w:val="24"/>
          <w:szCs w:val="24"/>
        </w:rPr>
        <w:tab/>
      </w:r>
      <w:r w:rsidRPr="009C3F69">
        <w:rPr>
          <w:rFonts w:ascii="Arial" w:eastAsia="Arial Unicode MS" w:hAnsi="Arial" w:cs="Arial"/>
          <w:b/>
          <w:sz w:val="24"/>
          <w:szCs w:val="24"/>
        </w:rPr>
        <w:tab/>
      </w:r>
      <w:r w:rsidRPr="009C3F69">
        <w:rPr>
          <w:rFonts w:ascii="Arial" w:eastAsia="Arial Unicode MS" w:hAnsi="Arial" w:cs="Arial"/>
          <w:b/>
          <w:sz w:val="24"/>
          <w:szCs w:val="24"/>
        </w:rPr>
        <w:tab/>
        <w:t xml:space="preserve">Domestic Laws as Source of </w:t>
      </w:r>
      <w:r w:rsidR="008E5035">
        <w:rPr>
          <w:rFonts w:ascii="Arial" w:eastAsia="Arial Unicode MS" w:hAnsi="Arial" w:cs="Arial"/>
          <w:b/>
          <w:sz w:val="24"/>
          <w:szCs w:val="24"/>
        </w:rPr>
        <w:t xml:space="preserve">Right to </w:t>
      </w:r>
      <w:r w:rsidRPr="009C3F69">
        <w:rPr>
          <w:rFonts w:ascii="Arial" w:eastAsia="Arial Unicode MS" w:hAnsi="Arial" w:cs="Arial"/>
          <w:b/>
          <w:sz w:val="24"/>
          <w:szCs w:val="24"/>
        </w:rPr>
        <w:t>Information</w:t>
      </w:r>
    </w:p>
    <w:p w:rsidR="00600A30" w:rsidRPr="009C3F69" w:rsidRDefault="00F17C5F" w:rsidP="004A722B">
      <w:pPr>
        <w:pStyle w:val="BlockText"/>
        <w:tabs>
          <w:tab w:val="left" w:pos="0"/>
        </w:tabs>
        <w:spacing w:line="276" w:lineRule="auto"/>
        <w:ind w:left="-360" w:right="0" w:firstLine="0"/>
        <w:rPr>
          <w:rFonts w:ascii="Arial" w:eastAsia="Arial Unicode MS" w:hAnsi="Arial" w:cs="Arial"/>
          <w:sz w:val="24"/>
          <w:szCs w:val="24"/>
        </w:rPr>
      </w:pPr>
      <w:r w:rsidRPr="009C3F69">
        <w:rPr>
          <w:rFonts w:ascii="Arial" w:eastAsia="Calibri" w:hAnsi="Arial" w:cs="Arial"/>
          <w:sz w:val="24"/>
          <w:szCs w:val="24"/>
        </w:rPr>
        <w:t>The entrenchment of right of expression as a fundamental right in Nigeria could be traced to the 1960 Independence Constitution and those that followed also have provisions for freedom of expression, ideas, opinion and information in addition to expression.</w:t>
      </w:r>
      <w:r w:rsidRPr="009C3F69">
        <w:rPr>
          <w:rStyle w:val="FootnoteReference"/>
          <w:rFonts w:ascii="Arial" w:eastAsia="Calibri" w:hAnsi="Arial" w:cs="Arial"/>
          <w:sz w:val="24"/>
          <w:szCs w:val="24"/>
        </w:rPr>
        <w:footnoteReference w:id="42"/>
      </w:r>
      <w:r w:rsidRPr="009C3F69">
        <w:rPr>
          <w:rFonts w:ascii="Arial" w:eastAsia="Arial Unicode MS" w:hAnsi="Arial" w:cs="Arial"/>
          <w:sz w:val="24"/>
          <w:szCs w:val="24"/>
        </w:rPr>
        <w:t xml:space="preserve">Section 39 of the 1963-1999 Constitution of the Federal Republic of Nigeria (as amended in 2010), provides that every person shall be entitled to freedom of expression, including freedom to hold opinions and to receive and impart ideas and information without interference. </w:t>
      </w:r>
      <w:r w:rsidRPr="009C3F69">
        <w:rPr>
          <w:rFonts w:ascii="Arial" w:hAnsi="Arial" w:cs="Arial"/>
          <w:sz w:val="24"/>
          <w:szCs w:val="24"/>
        </w:rPr>
        <w:t>Together with freedom of expression, right to information is part of the constitutional law of Nigeria since 1963</w:t>
      </w:r>
      <w:r w:rsidRPr="009C3F69">
        <w:rPr>
          <w:rFonts w:ascii="Arial" w:eastAsia="Arial Unicode MS" w:hAnsi="Arial" w:cs="Arial"/>
          <w:sz w:val="24"/>
          <w:szCs w:val="24"/>
        </w:rPr>
        <w:t>. This right also extends to ‘public-private’ bodies that are public service providers or benefits from public funding. For example, political parties are expected to publish their financial report for public information.</w:t>
      </w:r>
      <w:r w:rsidRPr="009C3F69">
        <w:rPr>
          <w:rStyle w:val="FootnoteReference"/>
          <w:rFonts w:ascii="Arial" w:eastAsia="Arial Unicode MS" w:hAnsi="Arial" w:cs="Arial"/>
          <w:sz w:val="24"/>
          <w:szCs w:val="24"/>
        </w:rPr>
        <w:footnoteReference w:id="43"/>
      </w:r>
      <w:r w:rsidRPr="009C3F69">
        <w:rPr>
          <w:rFonts w:ascii="Arial" w:eastAsia="Calibri" w:hAnsi="Arial" w:cs="Arial"/>
          <w:sz w:val="24"/>
          <w:szCs w:val="24"/>
        </w:rPr>
        <w:t>The entrenchment of freedom of expression and information in the Constitution was aimed at creating a society which promises political, social and economic freedom with robust life for those that believe. This gives insight into the genesis of elasticity of right of expression in the modern jurisprudence and provides a proper conceptual framework of freedom of expression from which right to information is company. Despite the guarantee of fundamental rights and liberties in the Nigerian Constitution, the country has had its fair share of abuse of powers with far reaching effects on the promotion and protection of democratic values. This rests largely on the right to freedom of expression and information as protective right under which other rights including right to life take refuge.</w:t>
      </w:r>
    </w:p>
    <w:p w:rsidR="00600A30" w:rsidRPr="009C3F69" w:rsidRDefault="00600A30" w:rsidP="004A722B">
      <w:pPr>
        <w:pStyle w:val="FootnoteText"/>
        <w:tabs>
          <w:tab w:val="left" w:pos="0"/>
        </w:tabs>
        <w:spacing w:line="276" w:lineRule="auto"/>
        <w:jc w:val="both"/>
        <w:rPr>
          <w:rFonts w:ascii="Arial" w:eastAsia="Arial Unicode MS" w:hAnsi="Arial" w:cs="Arial"/>
          <w:sz w:val="24"/>
          <w:szCs w:val="24"/>
        </w:rPr>
      </w:pPr>
    </w:p>
    <w:p w:rsidR="00FF3C1F" w:rsidRPr="009C3F69" w:rsidRDefault="00F17C5F" w:rsidP="004A722B">
      <w:pPr>
        <w:pStyle w:val="FootnoteText"/>
        <w:tabs>
          <w:tab w:val="left" w:pos="0"/>
        </w:tabs>
        <w:spacing w:line="276" w:lineRule="auto"/>
        <w:ind w:left="-360"/>
        <w:jc w:val="both"/>
        <w:rPr>
          <w:rFonts w:ascii="Arial" w:hAnsi="Arial" w:cs="Arial"/>
          <w:sz w:val="24"/>
          <w:szCs w:val="24"/>
        </w:rPr>
      </w:pPr>
      <w:r w:rsidRPr="009C3F69">
        <w:rPr>
          <w:rFonts w:ascii="Arial" w:eastAsia="Arial Unicode MS" w:hAnsi="Arial" w:cs="Arial"/>
          <w:sz w:val="24"/>
          <w:szCs w:val="24"/>
        </w:rPr>
        <w:t xml:space="preserve">FOIA </w:t>
      </w:r>
      <w:r w:rsidR="00FF3C1F" w:rsidRPr="009C3F69">
        <w:rPr>
          <w:rFonts w:ascii="Arial" w:eastAsia="Arial Unicode MS" w:hAnsi="Arial" w:cs="Arial"/>
          <w:sz w:val="24"/>
          <w:szCs w:val="24"/>
        </w:rPr>
        <w:t xml:space="preserve">alongside other legislations are </w:t>
      </w:r>
      <w:r w:rsidRPr="009C3F69">
        <w:rPr>
          <w:rFonts w:ascii="Arial" w:eastAsia="Arial Unicode MS" w:hAnsi="Arial" w:cs="Arial"/>
          <w:sz w:val="24"/>
          <w:szCs w:val="24"/>
        </w:rPr>
        <w:t>supportive administrative mechanism for the effective exercise of the right to expression, access and impartation of information. The main domestic source of the right to information is the Constitution and followed by the FOIA. Section 1 (1) of the FOIA provides that “the right of any person to access or request information, whether or not contained in any written form, which is in the custody or possession of any public official or institution is established”.</w:t>
      </w:r>
      <w:r w:rsidR="00DF03DC" w:rsidRPr="009C3F69">
        <w:rPr>
          <w:rFonts w:ascii="Arial" w:eastAsia="Arial Unicode MS" w:hAnsi="Arial" w:cs="Arial"/>
          <w:sz w:val="24"/>
          <w:szCs w:val="24"/>
        </w:rPr>
        <w:t xml:space="preserve"> The FOIA allows access to soft and hard copy.</w:t>
      </w:r>
      <w:r w:rsidRPr="009C3F69">
        <w:rPr>
          <w:rFonts w:ascii="Arial" w:eastAsia="Arial Unicode MS" w:hAnsi="Arial" w:cs="Arial"/>
          <w:sz w:val="24"/>
          <w:szCs w:val="24"/>
        </w:rPr>
        <w:t xml:space="preserve"> </w:t>
      </w:r>
      <w:r w:rsidR="00DF03DC" w:rsidRPr="009C3F69">
        <w:rPr>
          <w:rFonts w:ascii="Arial" w:eastAsia="Arial Unicode MS" w:hAnsi="Arial" w:cs="Arial"/>
          <w:sz w:val="24"/>
          <w:szCs w:val="24"/>
        </w:rPr>
        <w:t xml:space="preserve"> In Canada, </w:t>
      </w:r>
      <w:r w:rsidR="008212F7" w:rsidRPr="009C3F69">
        <w:rPr>
          <w:rFonts w:ascii="Arial" w:hAnsi="Arial" w:cs="Arial"/>
          <w:sz w:val="24"/>
          <w:szCs w:val="24"/>
        </w:rPr>
        <w:t>access does not necessarily means obtaining a copy of a document.</w:t>
      </w:r>
      <w:r w:rsidR="008212F7" w:rsidRPr="009C3F69">
        <w:rPr>
          <w:rStyle w:val="FootnoteReference"/>
          <w:rFonts w:ascii="Arial" w:hAnsi="Arial" w:cs="Arial"/>
          <w:sz w:val="24"/>
          <w:szCs w:val="24"/>
        </w:rPr>
        <w:footnoteReference w:id="44"/>
      </w:r>
      <w:r w:rsidR="008212F7" w:rsidRPr="009C3F69">
        <w:rPr>
          <w:rFonts w:ascii="Arial" w:hAnsi="Arial" w:cs="Arial"/>
          <w:sz w:val="24"/>
          <w:szCs w:val="24"/>
        </w:rPr>
        <w:t xml:space="preserve"> </w:t>
      </w:r>
      <w:r w:rsidR="00DF03DC" w:rsidRPr="009C3F69">
        <w:rPr>
          <w:rFonts w:ascii="Arial" w:hAnsi="Arial" w:cs="Arial"/>
          <w:sz w:val="24"/>
          <w:szCs w:val="24"/>
        </w:rPr>
        <w:t>The</w:t>
      </w:r>
      <w:r w:rsidR="00DF03DC" w:rsidRPr="009C3F69">
        <w:rPr>
          <w:rFonts w:ascii="Arial" w:hAnsi="Arial" w:cs="Arial"/>
          <w:i/>
          <w:sz w:val="24"/>
          <w:szCs w:val="24"/>
        </w:rPr>
        <w:t xml:space="preserve"> Access to Information Act of 1983 </w:t>
      </w:r>
      <w:r w:rsidR="00DF03DC" w:rsidRPr="009C3F69">
        <w:rPr>
          <w:rFonts w:ascii="Arial" w:hAnsi="Arial" w:cs="Arial"/>
          <w:sz w:val="24"/>
          <w:szCs w:val="24"/>
        </w:rPr>
        <w:t>excluded access to software necessary to read the information.</w:t>
      </w:r>
      <w:r w:rsidR="00DF03DC" w:rsidRPr="009C3F69">
        <w:rPr>
          <w:rStyle w:val="FootnoteReference"/>
          <w:rFonts w:ascii="Arial" w:hAnsi="Arial" w:cs="Arial"/>
          <w:sz w:val="24"/>
          <w:szCs w:val="24"/>
        </w:rPr>
        <w:footnoteReference w:id="45"/>
      </w:r>
      <w:r w:rsidR="00DF03DC" w:rsidRPr="009C3F69">
        <w:rPr>
          <w:rFonts w:ascii="Arial" w:hAnsi="Arial" w:cs="Arial"/>
          <w:sz w:val="24"/>
          <w:szCs w:val="24"/>
        </w:rPr>
        <w:t xml:space="preserve"> </w:t>
      </w:r>
      <w:r w:rsidRPr="009C3F69">
        <w:rPr>
          <w:rFonts w:ascii="Arial" w:eastAsia="Arial Unicode MS" w:hAnsi="Arial" w:cs="Arial"/>
          <w:sz w:val="24"/>
          <w:szCs w:val="24"/>
        </w:rPr>
        <w:t>The legislative design for the FOIA is to consider the public right to disclosure of a file without analyzing the specific need for the file.</w:t>
      </w:r>
      <w:r w:rsidRPr="009C3F69">
        <w:rPr>
          <w:rStyle w:val="FootnoteReference"/>
          <w:rFonts w:ascii="Arial" w:eastAsia="Arial Unicode MS" w:hAnsi="Arial" w:cs="Arial"/>
          <w:sz w:val="24"/>
          <w:szCs w:val="24"/>
        </w:rPr>
        <w:footnoteReference w:id="46"/>
      </w:r>
      <w:r w:rsidR="00FF3C1F" w:rsidRPr="009C3F69">
        <w:rPr>
          <w:rFonts w:ascii="Arial" w:hAnsi="Arial" w:cs="Arial"/>
          <w:sz w:val="24"/>
          <w:szCs w:val="24"/>
        </w:rPr>
        <w:t>The Act was adopted to compliment and not to replace existing open government legislations or existing procedure for access or limit in any way access to the type of information already available to the public.</w:t>
      </w:r>
    </w:p>
    <w:p w:rsidR="00FF3C1F" w:rsidRPr="009C3F69" w:rsidRDefault="00FF3C1F" w:rsidP="004A722B">
      <w:pPr>
        <w:pStyle w:val="FootnoteText"/>
        <w:tabs>
          <w:tab w:val="left" w:pos="0"/>
        </w:tabs>
        <w:spacing w:line="276" w:lineRule="auto"/>
        <w:ind w:left="-360"/>
        <w:jc w:val="both"/>
        <w:rPr>
          <w:rFonts w:ascii="Arial" w:eastAsia="Arial Unicode MS" w:hAnsi="Arial" w:cs="Arial"/>
          <w:sz w:val="24"/>
          <w:szCs w:val="24"/>
        </w:rPr>
      </w:pPr>
    </w:p>
    <w:p w:rsidR="00600A30" w:rsidRPr="009C3F69" w:rsidRDefault="00600A30" w:rsidP="004A722B">
      <w:pPr>
        <w:pStyle w:val="FootnoteText"/>
        <w:tabs>
          <w:tab w:val="left" w:pos="0"/>
        </w:tabs>
        <w:spacing w:line="276" w:lineRule="auto"/>
        <w:ind w:left="-360"/>
        <w:jc w:val="both"/>
        <w:rPr>
          <w:rFonts w:ascii="Arial" w:eastAsia="Arial Unicode MS" w:hAnsi="Arial" w:cs="Arial"/>
          <w:sz w:val="24"/>
          <w:szCs w:val="24"/>
        </w:rPr>
      </w:pPr>
    </w:p>
    <w:p w:rsidR="00600A30" w:rsidRPr="009C3F69" w:rsidRDefault="00F17C5F" w:rsidP="004A722B">
      <w:pPr>
        <w:pStyle w:val="FootnoteText"/>
        <w:tabs>
          <w:tab w:val="left" w:pos="0"/>
        </w:tabs>
        <w:spacing w:line="276" w:lineRule="auto"/>
        <w:ind w:left="-360"/>
        <w:jc w:val="both"/>
        <w:rPr>
          <w:rFonts w:ascii="Arial" w:eastAsia="Arial Unicode MS" w:hAnsi="Arial" w:cs="Arial"/>
          <w:sz w:val="24"/>
          <w:szCs w:val="24"/>
        </w:rPr>
      </w:pPr>
      <w:r w:rsidRPr="009C3F69">
        <w:rPr>
          <w:rFonts w:ascii="Arial" w:eastAsia="Arial Unicode MS" w:hAnsi="Arial" w:cs="Arial"/>
          <w:sz w:val="24"/>
          <w:szCs w:val="24"/>
        </w:rPr>
        <w:t>The Fiscal Responsibility Act (FRA) is also a virile source of right to information about government. It sets the parameters of sustainable benchmark for managing public finances. The FRA states that audited accounts of federal government or its agencies not later than six months of the financial year must be published in the mass media by the Accountant General of the Federation.</w:t>
      </w:r>
      <w:r w:rsidRPr="009C3F69">
        <w:rPr>
          <w:rStyle w:val="FootnoteReference"/>
          <w:rFonts w:ascii="Arial" w:eastAsia="Arial Unicode MS" w:hAnsi="Arial" w:cs="Arial"/>
          <w:sz w:val="24"/>
          <w:szCs w:val="24"/>
        </w:rPr>
        <w:footnoteReference w:id="47"/>
      </w:r>
      <w:r w:rsidRPr="009C3F69">
        <w:rPr>
          <w:rFonts w:ascii="Arial" w:eastAsia="Arial Unicode MS" w:hAnsi="Arial" w:cs="Arial"/>
          <w:sz w:val="24"/>
          <w:szCs w:val="24"/>
        </w:rPr>
        <w:t xml:space="preserve"> Section 48 (1) of FRA promotes wide publication of all transactions and decisions involving public revenues and expenditures</w:t>
      </w:r>
      <w:r w:rsidRPr="009C3F69">
        <w:rPr>
          <w:rStyle w:val="FootnoteReference"/>
          <w:rFonts w:ascii="Arial" w:eastAsia="Arial Unicode MS" w:hAnsi="Arial" w:cs="Arial"/>
          <w:sz w:val="24"/>
          <w:szCs w:val="24"/>
        </w:rPr>
        <w:footnoteReference w:id="48"/>
      </w:r>
      <w:r w:rsidRPr="009C3F69">
        <w:rPr>
          <w:rFonts w:ascii="Arial" w:eastAsia="Arial Unicode MS" w:hAnsi="Arial" w:cs="Arial"/>
          <w:sz w:val="24"/>
          <w:szCs w:val="24"/>
        </w:rPr>
        <w:t xml:space="preserve"> and the Minister of Finance is mandated to make public summarized report on budget implementation quarterly.</w:t>
      </w:r>
      <w:r w:rsidRPr="009C3F69">
        <w:rPr>
          <w:rStyle w:val="FootnoteReference"/>
          <w:rFonts w:ascii="Arial" w:eastAsia="Arial Unicode MS" w:hAnsi="Arial" w:cs="Arial"/>
          <w:sz w:val="24"/>
          <w:szCs w:val="24"/>
        </w:rPr>
        <w:footnoteReference w:id="49"/>
      </w:r>
      <w:r w:rsidRPr="009C3F69">
        <w:rPr>
          <w:rFonts w:ascii="Arial" w:eastAsia="Arial Unicode MS" w:hAnsi="Arial" w:cs="Arial"/>
          <w:sz w:val="24"/>
          <w:szCs w:val="24"/>
        </w:rPr>
        <w:t xml:space="preserve"> T</w:t>
      </w:r>
      <w:r w:rsidRPr="009C3F69">
        <w:rPr>
          <w:rFonts w:ascii="Arial" w:hAnsi="Arial" w:cs="Arial"/>
          <w:sz w:val="24"/>
          <w:szCs w:val="24"/>
        </w:rPr>
        <w:t xml:space="preserve">he commitment of public officials to the public is the upper most measures of transparency and accountability in a democracy. The traditional approach to accountability by open presentation of account before a legislative body is the oldest form of accountability with the latest form of disability. </w:t>
      </w:r>
      <w:r w:rsidRPr="009C3F69">
        <w:rPr>
          <w:rFonts w:ascii="Arial" w:eastAsia="Arial Unicode MS" w:hAnsi="Arial" w:cs="Arial"/>
          <w:sz w:val="24"/>
          <w:szCs w:val="24"/>
        </w:rPr>
        <w:t>This is because</w:t>
      </w:r>
      <w:r w:rsidRPr="009C3F69">
        <w:rPr>
          <w:rFonts w:ascii="Arial" w:hAnsi="Arial" w:cs="Arial"/>
          <w:sz w:val="24"/>
          <w:szCs w:val="24"/>
        </w:rPr>
        <w:t>the legislature is rapidly becoming frayed with exception and so compromise standard and processes in budget debate, implementation and supervision. This is where information in the bowel of the public is a talisman for collective participation.</w:t>
      </w:r>
    </w:p>
    <w:p w:rsidR="00600A30" w:rsidRPr="009C3F69" w:rsidRDefault="00600A30" w:rsidP="004A722B">
      <w:pPr>
        <w:pStyle w:val="FootnoteText"/>
        <w:tabs>
          <w:tab w:val="left" w:pos="0"/>
        </w:tabs>
        <w:spacing w:line="276" w:lineRule="auto"/>
        <w:jc w:val="both"/>
        <w:rPr>
          <w:rFonts w:ascii="Arial" w:eastAsia="Arial Unicode MS" w:hAnsi="Arial" w:cs="Arial"/>
          <w:sz w:val="24"/>
          <w:szCs w:val="24"/>
        </w:rPr>
      </w:pPr>
    </w:p>
    <w:p w:rsidR="00600A30" w:rsidRPr="009C3F69" w:rsidRDefault="00F17C5F" w:rsidP="004A722B">
      <w:pPr>
        <w:pStyle w:val="FootnoteText"/>
        <w:tabs>
          <w:tab w:val="left" w:pos="0"/>
        </w:tabs>
        <w:spacing w:line="276" w:lineRule="auto"/>
        <w:ind w:left="-360"/>
        <w:jc w:val="both"/>
        <w:rPr>
          <w:rFonts w:ascii="Arial" w:eastAsia="Arial Unicode MS" w:hAnsi="Arial" w:cs="Arial"/>
          <w:sz w:val="24"/>
          <w:szCs w:val="24"/>
        </w:rPr>
      </w:pPr>
      <w:r w:rsidRPr="009C3F69">
        <w:rPr>
          <w:rFonts w:ascii="Arial" w:eastAsia="Arial Unicode MS" w:hAnsi="Arial" w:cs="Arial"/>
          <w:sz w:val="24"/>
          <w:szCs w:val="24"/>
        </w:rPr>
        <w:t>Nigeria has relied too heavily on its oil and gas resources to the detriment of other renewable sources of energy. The Department of Petroleum Resources (DPR) is the agency responsible for collating public information in the oil and gas sector. The exact amount received by government from national and international explorative companies is usually not disclosed to members of the public. What is known is the amount offered for sale at the export terminals. The combination of wealth and secrecy in Nigeria is hugely problematic.</w:t>
      </w:r>
      <w:r w:rsidRPr="009C3F69">
        <w:rPr>
          <w:rStyle w:val="FootnoteReference"/>
          <w:rFonts w:ascii="Arial" w:eastAsia="Arial Unicode MS" w:hAnsi="Arial" w:cs="Arial"/>
          <w:sz w:val="24"/>
          <w:szCs w:val="24"/>
        </w:rPr>
        <w:footnoteReference w:id="50"/>
      </w:r>
      <w:r w:rsidRPr="009C3F69">
        <w:rPr>
          <w:rFonts w:ascii="Arial" w:eastAsia="Arial Unicode MS" w:hAnsi="Arial" w:cs="Arial"/>
          <w:sz w:val="24"/>
          <w:szCs w:val="24"/>
        </w:rPr>
        <w:t xml:space="preserve"> This accounts for why the massive oil theft is unaccounted for. The country’s governance content is shaped by a culture of secrecy which promoted notable instances of corruption. The dysfunctional access to the market creates an artificial gap and provides discretionary opportunities for public officials to seek rents in decision making process.</w:t>
      </w:r>
      <w:r w:rsidRPr="009C3F69">
        <w:rPr>
          <w:rStyle w:val="FootnoteReference"/>
          <w:rFonts w:ascii="Arial" w:eastAsia="Arial Unicode MS" w:hAnsi="Arial" w:cs="Arial"/>
          <w:sz w:val="24"/>
          <w:szCs w:val="24"/>
        </w:rPr>
        <w:footnoteReference w:id="51"/>
      </w:r>
      <w:r w:rsidRPr="009C3F69">
        <w:rPr>
          <w:rFonts w:ascii="Arial" w:eastAsia="Arial Unicode MS" w:hAnsi="Arial" w:cs="Arial"/>
          <w:sz w:val="24"/>
          <w:szCs w:val="24"/>
        </w:rPr>
        <w:t xml:space="preserve"> The proclivity of business and political actors to exploit opportunities for corruption was facilitated by a non-rules based system where discretionary decisions were the order of the day.</w:t>
      </w:r>
      <w:r w:rsidRPr="009C3F69">
        <w:rPr>
          <w:rStyle w:val="FootnoteReference"/>
          <w:rFonts w:ascii="Arial" w:eastAsia="Arial Unicode MS" w:hAnsi="Arial" w:cs="Arial"/>
          <w:sz w:val="24"/>
          <w:szCs w:val="24"/>
        </w:rPr>
        <w:footnoteReference w:id="52"/>
      </w:r>
      <w:r w:rsidRPr="009C3F69">
        <w:rPr>
          <w:rFonts w:ascii="Arial" w:eastAsia="Arial Unicode MS" w:hAnsi="Arial" w:cs="Arial"/>
          <w:sz w:val="24"/>
          <w:szCs w:val="24"/>
        </w:rPr>
        <w:t xml:space="preserve"> Corporate impunity and regulation capture by oil transnational</w:t>
      </w:r>
      <w:r w:rsidRPr="009C3F69">
        <w:rPr>
          <w:rStyle w:val="FootnoteReference"/>
          <w:rFonts w:ascii="Arial" w:eastAsia="Arial Unicode MS" w:hAnsi="Arial" w:cs="Arial"/>
          <w:sz w:val="24"/>
          <w:szCs w:val="24"/>
        </w:rPr>
        <w:footnoteReference w:id="53"/>
      </w:r>
      <w:r w:rsidRPr="009C3F69">
        <w:rPr>
          <w:rFonts w:ascii="Arial" w:eastAsia="Arial Unicode MS" w:hAnsi="Arial" w:cs="Arial"/>
          <w:sz w:val="24"/>
          <w:szCs w:val="24"/>
        </w:rPr>
        <w:t xml:space="preserve"> have spat on our sovereignty without remorse. This accounts for why Nigeria Extractive Industry Transparency Initiative (NEITI) Act was enacted to open up file proof financial details on the extractive industry in Nigeria and the clamor for Petroleum Industry Bill is to amongst others </w:t>
      </w:r>
      <w:r w:rsidRPr="009C3F69">
        <w:rPr>
          <w:rFonts w:ascii="Arial" w:eastAsia="Arial Unicode MS" w:hAnsi="Arial" w:cs="Arial"/>
          <w:sz w:val="24"/>
          <w:szCs w:val="24"/>
        </w:rPr>
        <w:lastRenderedPageBreak/>
        <w:t>balance oil trade and public interest. Even with NEITI Act, the basic details of how much the country produces, exports and earn from oil and gas is beyond the knowledge of the public. The secretive nature of payments from business community has devalued our sense of response and to reverse the trend is magic. The hitherto lack publication of financial activities in the industry by players in the industry and conspiracy of complacency by political branches account for the confidentiality and secrecy clauses in exploration and oil license contracts which the NEITI Act has abrogated.</w:t>
      </w:r>
      <w:r w:rsidRPr="009C3F69">
        <w:rPr>
          <w:rStyle w:val="FootnoteReference"/>
          <w:rFonts w:ascii="Arial" w:eastAsia="Arial Unicode MS" w:hAnsi="Arial" w:cs="Arial"/>
          <w:sz w:val="24"/>
          <w:szCs w:val="24"/>
        </w:rPr>
        <w:footnoteReference w:id="54"/>
      </w:r>
      <w:r w:rsidRPr="009C3F69">
        <w:rPr>
          <w:rFonts w:ascii="Arial" w:eastAsia="Arial Unicode MS" w:hAnsi="Arial" w:cs="Arial"/>
          <w:sz w:val="24"/>
          <w:szCs w:val="24"/>
        </w:rPr>
        <w:t xml:space="preserve"> There is need for metering of pipelines, oil wellheads and flow stations down to the export terminals.</w:t>
      </w:r>
      <w:r w:rsidRPr="009C3F69">
        <w:rPr>
          <w:rStyle w:val="FootnoteReference"/>
          <w:rFonts w:ascii="Arial" w:eastAsia="Arial Unicode MS" w:hAnsi="Arial" w:cs="Arial"/>
          <w:sz w:val="24"/>
          <w:szCs w:val="24"/>
        </w:rPr>
        <w:footnoteReference w:id="55"/>
      </w:r>
      <w:r w:rsidRPr="009C3F69">
        <w:rPr>
          <w:rFonts w:ascii="Arial" w:eastAsia="Arial Unicode MS" w:hAnsi="Arial" w:cs="Arial"/>
          <w:sz w:val="24"/>
          <w:szCs w:val="24"/>
        </w:rPr>
        <w:t xml:space="preserve"> This would engender public awareness of what obtains and who gets what, when and how in the oil, gas and mining sector save </w:t>
      </w:r>
      <w:r w:rsidRPr="009C3F69">
        <w:rPr>
          <w:rFonts w:ascii="Arial" w:hAnsi="Arial" w:cs="Arial"/>
          <w:sz w:val="24"/>
          <w:szCs w:val="24"/>
        </w:rPr>
        <w:t xml:space="preserve">for community indifference to tracing commonwealth. </w:t>
      </w:r>
    </w:p>
    <w:p w:rsidR="00600A30" w:rsidRPr="009C3F69" w:rsidRDefault="00600A30" w:rsidP="004A722B">
      <w:pPr>
        <w:pStyle w:val="FootnoteText"/>
        <w:tabs>
          <w:tab w:val="left" w:pos="0"/>
        </w:tabs>
        <w:spacing w:line="276" w:lineRule="auto"/>
        <w:ind w:left="-360"/>
        <w:jc w:val="both"/>
        <w:rPr>
          <w:rFonts w:ascii="Arial" w:eastAsia="Arial Unicode MS" w:hAnsi="Arial" w:cs="Arial"/>
          <w:sz w:val="24"/>
          <w:szCs w:val="24"/>
        </w:rPr>
      </w:pPr>
    </w:p>
    <w:p w:rsidR="00600A30" w:rsidRPr="009C3F69" w:rsidRDefault="00F17C5F" w:rsidP="004A722B">
      <w:pPr>
        <w:pStyle w:val="FootnoteText"/>
        <w:tabs>
          <w:tab w:val="left" w:pos="0"/>
        </w:tabs>
        <w:spacing w:line="276" w:lineRule="auto"/>
        <w:ind w:left="-360"/>
        <w:jc w:val="both"/>
        <w:rPr>
          <w:rFonts w:ascii="Arial" w:eastAsia="Arial Unicode MS" w:hAnsi="Arial" w:cs="Arial"/>
          <w:sz w:val="24"/>
          <w:szCs w:val="24"/>
        </w:rPr>
      </w:pPr>
      <w:r w:rsidRPr="009C3F69">
        <w:rPr>
          <w:rFonts w:ascii="Arial" w:eastAsia="Arial Unicode MS" w:hAnsi="Arial" w:cs="Arial"/>
          <w:sz w:val="24"/>
          <w:szCs w:val="24"/>
        </w:rPr>
        <w:t>Corruption in procurement circle is huge owing to dearth of public enlightenment and information dissemination. The right to information is a virile antidote to making corruption history in Nigeria. Public Procurements Act (PPA) of 2007waspromulgated to open up procurement process and depart from business as usual format for conducting public affairs. By the provisions of PPA, procurement exercise must be conducted by open competitive bidding in a manner that is transparent for the purpose of accountability.</w:t>
      </w:r>
      <w:r w:rsidRPr="009C3F69">
        <w:rPr>
          <w:rStyle w:val="FootnoteReference"/>
          <w:rFonts w:ascii="Arial" w:eastAsia="Arial Unicode MS" w:hAnsi="Arial" w:cs="Arial"/>
          <w:sz w:val="24"/>
          <w:szCs w:val="24"/>
        </w:rPr>
        <w:footnoteReference w:id="56"/>
      </w:r>
      <w:r w:rsidRPr="009C3F69">
        <w:rPr>
          <w:rFonts w:ascii="Arial" w:eastAsia="Arial Unicode MS" w:hAnsi="Arial" w:cs="Arial"/>
          <w:sz w:val="24"/>
          <w:szCs w:val="24"/>
        </w:rPr>
        <w:t>In many allocations of contracts in Nigeria, tender process was not followed. Both the FOIA and PPA provide that, files containing details of the contract, bids or agreements, must be disclosed.</w:t>
      </w:r>
      <w:r w:rsidRPr="009C3F69">
        <w:rPr>
          <w:rStyle w:val="FootnoteReference"/>
          <w:rFonts w:ascii="Arial" w:eastAsia="Arial Unicode MS" w:hAnsi="Arial" w:cs="Arial"/>
          <w:sz w:val="24"/>
          <w:szCs w:val="24"/>
        </w:rPr>
        <w:footnoteReference w:id="57"/>
      </w:r>
      <w:r w:rsidRPr="009C3F69">
        <w:rPr>
          <w:rFonts w:ascii="Arial" w:eastAsia="Arial Unicode MS" w:hAnsi="Arial" w:cs="Arial"/>
          <w:sz w:val="24"/>
          <w:szCs w:val="24"/>
        </w:rPr>
        <w:t>In Slovakia, a country once ranked as very corrupt, introduced a system of placing all public procurement documents and receipts on the internet. As much as one-tenth of the population has checked one contract or receipt online. The result is that the perception of corruption has decreased.</w:t>
      </w:r>
      <w:r w:rsidRPr="009C3F69">
        <w:rPr>
          <w:rStyle w:val="FootnoteReference"/>
          <w:rFonts w:ascii="Arial" w:eastAsia="Arial Unicode MS" w:hAnsi="Arial" w:cs="Arial"/>
          <w:sz w:val="24"/>
          <w:szCs w:val="24"/>
        </w:rPr>
        <w:footnoteReference w:id="58"/>
      </w:r>
      <w:r w:rsidRPr="009C3F69">
        <w:rPr>
          <w:rFonts w:ascii="Arial" w:eastAsia="Arial Unicode MS" w:hAnsi="Arial" w:cs="Arial"/>
          <w:sz w:val="24"/>
          <w:szCs w:val="24"/>
        </w:rPr>
        <w:t xml:space="preserve">The right to information </w:t>
      </w:r>
      <w:r w:rsidRPr="009C3F69">
        <w:rPr>
          <w:rFonts w:ascii="Arial" w:hAnsi="Arial" w:cs="Arial"/>
          <w:sz w:val="24"/>
          <w:szCs w:val="24"/>
        </w:rPr>
        <w:t>is prime in any large scale anti-corruption reform. Although the 2003 UN Convention against Corruption (UNCAC) does not explicitly state that the accessibility of governmentally-held documents is a measure of counteracting corruption, it contains specific references to the publicity of official documents.</w:t>
      </w:r>
      <w:r w:rsidRPr="009C3F69">
        <w:rPr>
          <w:rStyle w:val="FootnoteReference"/>
          <w:rFonts w:ascii="Arial" w:hAnsi="Arial" w:cs="Arial"/>
          <w:sz w:val="24"/>
          <w:szCs w:val="24"/>
        </w:rPr>
        <w:footnoteReference w:id="59"/>
      </w:r>
      <w:r w:rsidRPr="009C3F69">
        <w:rPr>
          <w:rFonts w:ascii="Arial" w:eastAsia="Arial Unicode MS" w:hAnsi="Arial" w:cs="Arial"/>
          <w:sz w:val="24"/>
          <w:szCs w:val="24"/>
        </w:rPr>
        <w:t xml:space="preserve">In Nigeria, the desire to reverse the ‘resource curse’ justifies the new -fangled fundamental right to information so as to please the conservative court and the most radical sovereign of public interest. </w:t>
      </w:r>
    </w:p>
    <w:p w:rsidR="00600A30" w:rsidRPr="009C3F69" w:rsidRDefault="00600A30" w:rsidP="004A722B">
      <w:pPr>
        <w:pStyle w:val="FootnoteText"/>
        <w:tabs>
          <w:tab w:val="left" w:pos="0"/>
        </w:tabs>
        <w:spacing w:line="276" w:lineRule="auto"/>
        <w:ind w:left="-360"/>
        <w:jc w:val="both"/>
        <w:rPr>
          <w:rFonts w:ascii="Arial" w:eastAsia="Arial Unicode MS" w:hAnsi="Arial" w:cs="Arial"/>
          <w:sz w:val="24"/>
          <w:szCs w:val="24"/>
        </w:rPr>
      </w:pPr>
    </w:p>
    <w:p w:rsidR="00600A30" w:rsidRPr="009C3F69" w:rsidRDefault="00F17C5F" w:rsidP="004A722B">
      <w:pPr>
        <w:pStyle w:val="FootnoteText"/>
        <w:tabs>
          <w:tab w:val="left" w:pos="0"/>
        </w:tabs>
        <w:spacing w:line="276" w:lineRule="auto"/>
        <w:ind w:left="-360"/>
        <w:jc w:val="both"/>
        <w:rPr>
          <w:rFonts w:ascii="Arial" w:eastAsia="Arial Unicode MS" w:hAnsi="Arial" w:cs="Arial"/>
          <w:sz w:val="24"/>
          <w:szCs w:val="24"/>
        </w:rPr>
      </w:pPr>
      <w:r w:rsidRPr="009C3F69">
        <w:rPr>
          <w:rFonts w:ascii="Arial" w:eastAsia="Arial Unicode MS" w:hAnsi="Arial" w:cs="Arial"/>
          <w:sz w:val="24"/>
          <w:szCs w:val="24"/>
        </w:rPr>
        <w:t xml:space="preserve">The Archive is also an important component of information dissemination. The concept of access to archival information, particularly to government records had evolved from a </w:t>
      </w:r>
      <w:r w:rsidRPr="009C3F69">
        <w:rPr>
          <w:rFonts w:ascii="Arial" w:eastAsia="Arial Unicode MS" w:hAnsi="Arial" w:cs="Arial"/>
          <w:sz w:val="24"/>
          <w:szCs w:val="24"/>
        </w:rPr>
        <w:lastRenderedPageBreak/>
        <w:t>privilege to a right.</w:t>
      </w:r>
      <w:r w:rsidRPr="009C3F69">
        <w:rPr>
          <w:rStyle w:val="FootnoteReference"/>
          <w:rFonts w:ascii="Arial" w:eastAsia="Arial Unicode MS" w:hAnsi="Arial" w:cs="Arial"/>
          <w:sz w:val="24"/>
          <w:szCs w:val="24"/>
        </w:rPr>
        <w:footnoteReference w:id="60"/>
      </w:r>
      <w:r w:rsidRPr="009C3F69">
        <w:rPr>
          <w:rFonts w:ascii="Arial" w:eastAsia="Arial Unicode MS" w:hAnsi="Arial" w:cs="Arial"/>
          <w:sz w:val="24"/>
          <w:szCs w:val="24"/>
        </w:rPr>
        <w:t>Archival institutions are credited with the dual role of preserving and making accessible to the public archival information in their custody. The purpose of access to archives is to promote knowledge sharing, accountability and transparency in government.</w:t>
      </w:r>
      <w:r w:rsidRPr="009C3F69">
        <w:rPr>
          <w:rStyle w:val="FootnoteReference"/>
          <w:rFonts w:ascii="Arial" w:eastAsia="Arial Unicode MS" w:hAnsi="Arial" w:cs="Arial"/>
          <w:sz w:val="24"/>
          <w:szCs w:val="24"/>
        </w:rPr>
        <w:footnoteReference w:id="61"/>
      </w:r>
      <w:r w:rsidRPr="009C3F69">
        <w:rPr>
          <w:rFonts w:ascii="Arial" w:hAnsi="Arial" w:cs="Arial"/>
          <w:sz w:val="24"/>
          <w:szCs w:val="24"/>
        </w:rPr>
        <w:t>The very nature and quality of public service would be significantly impoverished without publicity.</w:t>
      </w:r>
      <w:r w:rsidRPr="009C3F69">
        <w:rPr>
          <w:rStyle w:val="FootnoteReference"/>
          <w:rFonts w:ascii="Arial" w:hAnsi="Arial" w:cs="Arial"/>
          <w:sz w:val="24"/>
          <w:szCs w:val="24"/>
        </w:rPr>
        <w:footnoteReference w:id="62"/>
      </w:r>
      <w:r w:rsidRPr="009C3F69">
        <w:rPr>
          <w:rFonts w:ascii="Arial" w:eastAsia="Arial Unicode MS" w:hAnsi="Arial" w:cs="Arial"/>
          <w:sz w:val="24"/>
          <w:szCs w:val="24"/>
        </w:rPr>
        <w:t>Publicity is a critical element of participatory democracy.</w:t>
      </w:r>
      <w:r w:rsidRPr="009C3F69">
        <w:rPr>
          <w:rStyle w:val="FootnoteReference"/>
          <w:rFonts w:ascii="Arial" w:eastAsia="Arial Unicode MS" w:hAnsi="Arial" w:cs="Arial"/>
          <w:sz w:val="24"/>
          <w:szCs w:val="24"/>
        </w:rPr>
        <w:footnoteReference w:id="63"/>
      </w:r>
      <w:r w:rsidRPr="009C3F69">
        <w:rPr>
          <w:rFonts w:ascii="Arial" w:eastAsia="Arial Unicode MS" w:hAnsi="Arial" w:cs="Arial"/>
          <w:sz w:val="24"/>
          <w:szCs w:val="24"/>
        </w:rPr>
        <w:t xml:space="preserve"> Information is sustainable within the limits of a climate unconstrained by belief in a shared vision. There is an increasing awareness of the role and use of archives in improving access to information. Most persons used archives for research purpose, information, litigation and administrative purposes. The majority of searchers in Kenya National Archives and Documentation Service used archival information for research work.</w:t>
      </w:r>
      <w:r w:rsidRPr="009C3F69">
        <w:rPr>
          <w:rStyle w:val="FootnoteReference"/>
          <w:rFonts w:ascii="Arial" w:eastAsia="Arial Unicode MS" w:hAnsi="Arial" w:cs="Arial"/>
          <w:sz w:val="24"/>
          <w:szCs w:val="24"/>
        </w:rPr>
        <w:footnoteReference w:id="64"/>
      </w:r>
      <w:r w:rsidRPr="009C3F69">
        <w:rPr>
          <w:rFonts w:ascii="Arial" w:hAnsi="Arial" w:cs="Arial"/>
          <w:sz w:val="24"/>
          <w:szCs w:val="24"/>
        </w:rPr>
        <w:t xml:space="preserve">Efforts by the public to stand in the gap can only push the nation to be outstanding where plans for development has first addressed the practical limitation of relevant learning systems. </w:t>
      </w:r>
      <w:r w:rsidRPr="009C3F69">
        <w:rPr>
          <w:rFonts w:ascii="Arial" w:eastAsia="Arial Unicode MS" w:hAnsi="Arial" w:cs="Arial"/>
          <w:sz w:val="24"/>
          <w:szCs w:val="24"/>
        </w:rPr>
        <w:t>Information is sustainable within the limits of a climate unconstrained by belief in a shared vision.</w:t>
      </w:r>
    </w:p>
    <w:p w:rsidR="00600A30" w:rsidRPr="009C3F69" w:rsidRDefault="00600A30" w:rsidP="004A722B">
      <w:pPr>
        <w:pStyle w:val="FootnoteText"/>
        <w:tabs>
          <w:tab w:val="left" w:pos="0"/>
        </w:tabs>
        <w:spacing w:line="276" w:lineRule="auto"/>
        <w:ind w:left="-360"/>
        <w:jc w:val="both"/>
        <w:rPr>
          <w:rFonts w:ascii="Arial" w:eastAsia="Arial Unicode MS" w:hAnsi="Arial" w:cs="Arial"/>
          <w:b/>
          <w:sz w:val="24"/>
          <w:szCs w:val="24"/>
        </w:rPr>
      </w:pPr>
    </w:p>
    <w:p w:rsidR="00600A30" w:rsidRPr="009C3F69" w:rsidRDefault="00284CAD" w:rsidP="004A722B">
      <w:pPr>
        <w:pStyle w:val="FootnoteText"/>
        <w:tabs>
          <w:tab w:val="left" w:pos="0"/>
        </w:tabs>
        <w:spacing w:line="276" w:lineRule="auto"/>
        <w:ind w:left="-360"/>
        <w:jc w:val="both"/>
        <w:rPr>
          <w:rFonts w:ascii="Arial" w:eastAsia="Arial Unicode MS" w:hAnsi="Arial" w:cs="Arial"/>
          <w:b/>
          <w:sz w:val="24"/>
          <w:szCs w:val="24"/>
        </w:rPr>
      </w:pPr>
      <w:r>
        <w:rPr>
          <w:rFonts w:ascii="Arial" w:eastAsia="Arial Unicode MS" w:hAnsi="Arial" w:cs="Arial"/>
          <w:sz w:val="24"/>
          <w:szCs w:val="24"/>
        </w:rPr>
        <w:tab/>
      </w:r>
      <w:r w:rsidR="00F17C5F" w:rsidRPr="009C3F69">
        <w:rPr>
          <w:rFonts w:ascii="Arial" w:eastAsia="Arial Unicode MS" w:hAnsi="Arial" w:cs="Arial"/>
          <w:b/>
          <w:sz w:val="24"/>
          <w:szCs w:val="24"/>
        </w:rPr>
        <w:t>IS FREEDOM OF INFORMATION A FUNDAMENTAL RIGHT?</w:t>
      </w:r>
    </w:p>
    <w:p w:rsidR="00600A30" w:rsidRPr="009C3F69" w:rsidRDefault="00F17C5F" w:rsidP="004A722B">
      <w:pPr>
        <w:pStyle w:val="FootnoteText"/>
        <w:tabs>
          <w:tab w:val="left" w:pos="0"/>
        </w:tabs>
        <w:spacing w:line="276" w:lineRule="auto"/>
        <w:ind w:left="-360"/>
        <w:jc w:val="both"/>
        <w:rPr>
          <w:rFonts w:ascii="Arial" w:eastAsia="Arial Unicode MS" w:hAnsi="Arial" w:cs="Arial"/>
          <w:sz w:val="24"/>
          <w:szCs w:val="24"/>
        </w:rPr>
      </w:pPr>
      <w:r w:rsidRPr="009C3F69">
        <w:rPr>
          <w:rFonts w:ascii="Arial" w:eastAsia="Arial Unicode MS" w:hAnsi="Arial" w:cs="Arial"/>
          <w:sz w:val="24"/>
          <w:szCs w:val="24"/>
        </w:rPr>
        <w:t>Nigeria wore the confetti of developing nation since 1960. The signing into law of FOIA in 2011 has placed the nation in the league of developed nation if the index of open government has anything to go by. The objective of the 1995 and 1999 campaigns for freedom of information in Nigeria was to lay down a legal principle of the right of access to public information in the custody of the government as a corollary to the guarantee of freedom of expression in section 39 of the Constitution of 1999. In interpreting statutes, the historical antecedents of such provisions could be of help in order to bring out the real intendment of the lawmakers.</w:t>
      </w:r>
      <w:r w:rsidRPr="009C3F69">
        <w:rPr>
          <w:rStyle w:val="FootnoteReference"/>
          <w:rFonts w:ascii="Arial" w:eastAsia="Arial Unicode MS" w:hAnsi="Arial" w:cs="Arial"/>
          <w:sz w:val="24"/>
          <w:szCs w:val="24"/>
        </w:rPr>
        <w:footnoteReference w:id="65"/>
      </w:r>
      <w:r w:rsidRPr="009C3F69">
        <w:rPr>
          <w:rFonts w:ascii="Arial" w:eastAsia="Arial Unicode MS" w:hAnsi="Arial" w:cs="Arial"/>
          <w:sz w:val="24"/>
          <w:szCs w:val="24"/>
        </w:rPr>
        <w:t>The UN General Assembly</w:t>
      </w:r>
      <w:r w:rsidRPr="009C3F69">
        <w:rPr>
          <w:rStyle w:val="FootnoteReference"/>
          <w:rFonts w:ascii="Arial" w:eastAsia="Arial Unicode MS" w:hAnsi="Arial" w:cs="Arial"/>
          <w:sz w:val="24"/>
          <w:szCs w:val="24"/>
        </w:rPr>
        <w:footnoteReference w:id="66"/>
      </w:r>
      <w:r w:rsidRPr="009C3F69">
        <w:rPr>
          <w:rFonts w:ascii="Arial" w:eastAsia="Arial Unicode MS" w:hAnsi="Arial" w:cs="Arial"/>
          <w:sz w:val="24"/>
          <w:szCs w:val="24"/>
        </w:rPr>
        <w:t xml:space="preserve">recognizes access to public </w:t>
      </w:r>
      <w:r w:rsidRPr="009C3F69">
        <w:rPr>
          <w:rFonts w:ascii="Arial" w:eastAsia="Arial Unicode MS" w:hAnsi="Arial" w:cs="Arial"/>
          <w:sz w:val="24"/>
          <w:szCs w:val="24"/>
        </w:rPr>
        <w:lastRenderedPageBreak/>
        <w:t>information as an integral part of the fundamental right of freedom of expression and the reverse was considered discriminatory.</w:t>
      </w:r>
      <w:r w:rsidRPr="009C3F69">
        <w:rPr>
          <w:rStyle w:val="FootnoteReference"/>
          <w:rFonts w:ascii="Arial" w:hAnsi="Arial" w:cs="Arial"/>
          <w:sz w:val="24"/>
          <w:szCs w:val="24"/>
        </w:rPr>
        <w:footnoteReference w:id="67"/>
      </w:r>
    </w:p>
    <w:p w:rsidR="00600A30" w:rsidRPr="009C3F69" w:rsidRDefault="00600A30" w:rsidP="004A722B">
      <w:pPr>
        <w:pStyle w:val="FootnoteText"/>
        <w:tabs>
          <w:tab w:val="left" w:pos="0"/>
        </w:tabs>
        <w:spacing w:line="276" w:lineRule="auto"/>
        <w:ind w:left="-360"/>
        <w:jc w:val="both"/>
        <w:rPr>
          <w:rFonts w:ascii="Arial" w:eastAsia="Arial Unicode MS" w:hAnsi="Arial" w:cs="Arial"/>
          <w:sz w:val="24"/>
          <w:szCs w:val="24"/>
        </w:rPr>
      </w:pPr>
    </w:p>
    <w:p w:rsidR="00600A30" w:rsidRPr="009C3F69" w:rsidRDefault="00F17C5F" w:rsidP="004A722B">
      <w:pPr>
        <w:pStyle w:val="FootnoteText"/>
        <w:tabs>
          <w:tab w:val="left" w:pos="0"/>
        </w:tabs>
        <w:spacing w:line="276" w:lineRule="auto"/>
        <w:ind w:left="-360"/>
        <w:jc w:val="both"/>
        <w:rPr>
          <w:rFonts w:ascii="Arial" w:eastAsia="Arial Unicode MS" w:hAnsi="Arial" w:cs="Arial"/>
          <w:sz w:val="24"/>
          <w:szCs w:val="24"/>
        </w:rPr>
      </w:pPr>
      <w:r w:rsidRPr="009C3F69">
        <w:rPr>
          <w:rFonts w:ascii="Arial" w:eastAsia="Arial Unicode MS" w:hAnsi="Arial" w:cs="Arial"/>
          <w:sz w:val="24"/>
          <w:szCs w:val="24"/>
        </w:rPr>
        <w:t>Open Society Foundation work to uphold right to information in order to support public involvement in government and also to promote accountability, challenge corruption and human rights abuses.</w:t>
      </w:r>
      <w:r w:rsidRPr="009C3F69">
        <w:rPr>
          <w:rStyle w:val="FootnoteReference"/>
          <w:rFonts w:ascii="Arial" w:eastAsia="Arial Unicode MS" w:hAnsi="Arial" w:cs="Arial"/>
          <w:sz w:val="24"/>
          <w:szCs w:val="24"/>
        </w:rPr>
        <w:footnoteReference w:id="68"/>
      </w:r>
      <w:r w:rsidRPr="009C3F69">
        <w:rPr>
          <w:rFonts w:ascii="Arial" w:eastAsia="Arial Unicode MS" w:hAnsi="Arial" w:cs="Arial"/>
          <w:sz w:val="24"/>
          <w:szCs w:val="24"/>
        </w:rPr>
        <w:t xml:space="preserve"> The right to public information is a part of freedom of expression but made prominent in second generation rights advocacy. </w:t>
      </w:r>
      <w:r w:rsidRPr="009C3F69">
        <w:rPr>
          <w:rFonts w:ascii="Arial" w:hAnsi="Arial" w:cs="Arial"/>
          <w:sz w:val="24"/>
          <w:szCs w:val="24"/>
        </w:rPr>
        <w:t>The principle of access to information was slow to evolve</w:t>
      </w:r>
      <w:r w:rsidRPr="009C3F69">
        <w:rPr>
          <w:rStyle w:val="FootnoteReference"/>
          <w:rFonts w:ascii="Arial" w:hAnsi="Arial" w:cs="Arial"/>
          <w:sz w:val="24"/>
          <w:szCs w:val="24"/>
        </w:rPr>
        <w:footnoteReference w:id="69"/>
      </w:r>
      <w:r w:rsidRPr="009C3F69">
        <w:rPr>
          <w:rFonts w:ascii="Arial" w:hAnsi="Arial" w:cs="Arial"/>
          <w:sz w:val="24"/>
          <w:szCs w:val="24"/>
        </w:rPr>
        <w:t xml:space="preserve"> and </w:t>
      </w:r>
      <w:r w:rsidRPr="009C3F69">
        <w:rPr>
          <w:rFonts w:ascii="Arial" w:eastAsia="Arial Unicode MS" w:hAnsi="Arial" w:cs="Arial"/>
          <w:sz w:val="24"/>
          <w:szCs w:val="24"/>
        </w:rPr>
        <w:t>the 19</w:t>
      </w:r>
      <w:r w:rsidRPr="009C3F69">
        <w:rPr>
          <w:rFonts w:ascii="Arial" w:eastAsia="Arial Unicode MS" w:hAnsi="Arial" w:cs="Arial"/>
          <w:sz w:val="24"/>
          <w:szCs w:val="24"/>
          <w:vertAlign w:val="superscript"/>
        </w:rPr>
        <w:t>th</w:t>
      </w:r>
      <w:r w:rsidRPr="009C3F69">
        <w:rPr>
          <w:rFonts w:ascii="Arial" w:eastAsia="Arial Unicode MS" w:hAnsi="Arial" w:cs="Arial"/>
          <w:sz w:val="24"/>
          <w:szCs w:val="24"/>
        </w:rPr>
        <w:t xml:space="preserve"> and 20</w:t>
      </w:r>
      <w:r w:rsidRPr="009C3F69">
        <w:rPr>
          <w:rFonts w:ascii="Arial" w:eastAsia="Arial Unicode MS" w:hAnsi="Arial" w:cs="Arial"/>
          <w:sz w:val="24"/>
          <w:szCs w:val="24"/>
          <w:vertAlign w:val="superscript"/>
        </w:rPr>
        <w:t>th</w:t>
      </w:r>
      <w:r w:rsidRPr="009C3F69">
        <w:rPr>
          <w:rFonts w:ascii="Arial" w:eastAsia="Arial Unicode MS" w:hAnsi="Arial" w:cs="Arial"/>
          <w:sz w:val="24"/>
          <w:szCs w:val="24"/>
        </w:rPr>
        <w:t xml:space="preserve"> century bore witness to a fundamental exposition of the very meaning of expression. This class of right [to information] deserves to be treated equally</w:t>
      </w:r>
      <w:r w:rsidRPr="009C3F69">
        <w:rPr>
          <w:rStyle w:val="FootnoteReference"/>
          <w:rFonts w:ascii="Arial" w:eastAsia="Arial Unicode MS" w:hAnsi="Arial" w:cs="Arial"/>
          <w:sz w:val="24"/>
          <w:szCs w:val="24"/>
        </w:rPr>
        <w:footnoteReference w:id="70"/>
      </w:r>
      <w:r w:rsidRPr="009C3F69">
        <w:rPr>
          <w:rFonts w:ascii="Arial" w:eastAsia="Arial Unicode MS" w:hAnsi="Arial" w:cs="Arial"/>
          <w:sz w:val="24"/>
          <w:szCs w:val="24"/>
        </w:rPr>
        <w:t xml:space="preserve"> as other second generation rights</w:t>
      </w:r>
      <w:r w:rsidRPr="009C3F69">
        <w:rPr>
          <w:rStyle w:val="FootnoteReference"/>
          <w:rFonts w:ascii="Arial" w:eastAsia="Arial Unicode MS" w:hAnsi="Arial" w:cs="Arial"/>
          <w:sz w:val="24"/>
          <w:szCs w:val="24"/>
        </w:rPr>
        <w:footnoteReference w:id="71"/>
      </w:r>
      <w:r w:rsidRPr="009C3F69">
        <w:rPr>
          <w:rFonts w:ascii="Arial" w:eastAsia="Arial Unicode MS" w:hAnsi="Arial" w:cs="Arial"/>
          <w:sz w:val="24"/>
          <w:szCs w:val="24"/>
        </w:rPr>
        <w:t xml:space="preserve">which the first generation rights of freedom of expression depends on to find expression in a social change. </w:t>
      </w:r>
    </w:p>
    <w:p w:rsidR="00600A30" w:rsidRPr="009C3F69" w:rsidRDefault="00600A30" w:rsidP="004A722B">
      <w:pPr>
        <w:pStyle w:val="FootnoteText"/>
        <w:tabs>
          <w:tab w:val="left" w:pos="0"/>
        </w:tabs>
        <w:spacing w:line="276" w:lineRule="auto"/>
        <w:ind w:left="-360"/>
        <w:jc w:val="both"/>
        <w:rPr>
          <w:rFonts w:ascii="Arial" w:eastAsia="Arial Unicode MS" w:hAnsi="Arial" w:cs="Arial"/>
          <w:sz w:val="24"/>
          <w:szCs w:val="24"/>
        </w:rPr>
      </w:pPr>
    </w:p>
    <w:p w:rsidR="00600A30" w:rsidRPr="009C3F69" w:rsidRDefault="00F17C5F" w:rsidP="004A722B">
      <w:pPr>
        <w:pStyle w:val="FootnoteText"/>
        <w:tabs>
          <w:tab w:val="left" w:pos="0"/>
        </w:tabs>
        <w:spacing w:line="276" w:lineRule="auto"/>
        <w:ind w:left="-360"/>
        <w:jc w:val="both"/>
        <w:rPr>
          <w:rFonts w:ascii="Arial" w:eastAsia="Arial Unicode MS" w:hAnsi="Arial" w:cs="Arial"/>
          <w:sz w:val="24"/>
          <w:szCs w:val="24"/>
        </w:rPr>
      </w:pPr>
      <w:r w:rsidRPr="009C3F69">
        <w:rPr>
          <w:rFonts w:ascii="Arial" w:eastAsia="Arial Unicode MS" w:hAnsi="Arial" w:cs="Arial"/>
          <w:sz w:val="24"/>
          <w:szCs w:val="24"/>
        </w:rPr>
        <w:t>Expression has several companions chief of whom is information. Freedom of expression cannot break bruised reed neither can it quench smoking fire without freedom of information. The right of expression is inchoate without a right of access to information about government as the raising discrepancy is entirely due to inadvertence. The Freedom of Information Act is unique in its freshness in completeness of expression and making same to be at sync with the sprit of the letter of freedom of expression in the 1999 Constitution. Democracy cannot survive without free and fairly informed voters.</w:t>
      </w:r>
      <w:r w:rsidRPr="009C3F69">
        <w:rPr>
          <w:rStyle w:val="FootnoteReference"/>
          <w:rFonts w:ascii="Arial" w:eastAsia="Arial Unicode MS" w:hAnsi="Arial" w:cs="Arial"/>
          <w:sz w:val="24"/>
          <w:szCs w:val="24"/>
        </w:rPr>
        <w:footnoteReference w:id="72"/>
      </w:r>
      <w:r w:rsidRPr="009C3F69">
        <w:rPr>
          <w:rFonts w:ascii="Arial" w:eastAsia="Arial Unicode MS" w:hAnsi="Arial" w:cs="Arial"/>
          <w:sz w:val="24"/>
          <w:szCs w:val="24"/>
        </w:rPr>
        <w:t xml:space="preserve"> In S.P. Gupta v Union of India,</w:t>
      </w:r>
      <w:r w:rsidRPr="009C3F69">
        <w:rPr>
          <w:rStyle w:val="FootnoteReference"/>
          <w:rFonts w:ascii="Arial" w:eastAsia="Arial Unicode MS" w:hAnsi="Arial" w:cs="Arial"/>
          <w:sz w:val="24"/>
          <w:szCs w:val="24"/>
        </w:rPr>
        <w:footnoteReference w:id="73"/>
      </w:r>
      <w:r w:rsidRPr="009C3F69">
        <w:rPr>
          <w:rFonts w:ascii="Arial" w:eastAsia="Arial Unicode MS" w:hAnsi="Arial" w:cs="Arial"/>
          <w:sz w:val="24"/>
          <w:szCs w:val="24"/>
        </w:rPr>
        <w:t xml:space="preserve"> the Supreme Court of India held that, the right to know is implicit in the right to free speech and expression. </w:t>
      </w:r>
      <w:r w:rsidRPr="009C3F69">
        <w:rPr>
          <w:rFonts w:ascii="Arial" w:hAnsi="Arial" w:cs="Arial"/>
          <w:sz w:val="24"/>
          <w:szCs w:val="24"/>
        </w:rPr>
        <w:t xml:space="preserve">In </w:t>
      </w:r>
      <w:r w:rsidRPr="009C3F69">
        <w:rPr>
          <w:rFonts w:ascii="Arial" w:eastAsia="Calibri" w:hAnsi="Arial" w:cs="Arial"/>
          <w:iCs/>
          <w:sz w:val="24"/>
          <w:szCs w:val="24"/>
        </w:rPr>
        <w:t xml:space="preserve">Claude Reyes &amp; Others </w:t>
      </w:r>
      <w:r w:rsidRPr="009C3F69">
        <w:rPr>
          <w:rFonts w:ascii="Arial" w:eastAsia="Calibri" w:hAnsi="Arial" w:cs="Arial"/>
          <w:sz w:val="24"/>
          <w:szCs w:val="24"/>
        </w:rPr>
        <w:t xml:space="preserve">v. </w:t>
      </w:r>
      <w:r w:rsidRPr="009C3F69">
        <w:rPr>
          <w:rFonts w:ascii="Arial" w:eastAsia="Calibri" w:hAnsi="Arial" w:cs="Arial"/>
          <w:iCs/>
          <w:sz w:val="24"/>
          <w:szCs w:val="24"/>
        </w:rPr>
        <w:t>Chile</w:t>
      </w:r>
      <w:r w:rsidRPr="009C3F69">
        <w:rPr>
          <w:rStyle w:val="FootnoteReference"/>
          <w:rFonts w:ascii="Arial" w:eastAsia="Calibri" w:hAnsi="Arial" w:cs="Arial"/>
          <w:iCs/>
          <w:sz w:val="24"/>
          <w:szCs w:val="24"/>
        </w:rPr>
        <w:footnoteReference w:id="74"/>
      </w:r>
      <w:r w:rsidRPr="009C3F69">
        <w:rPr>
          <w:rFonts w:ascii="Arial" w:eastAsia="Calibri" w:hAnsi="Arial" w:cs="Arial"/>
          <w:sz w:val="24"/>
          <w:szCs w:val="24"/>
        </w:rPr>
        <w:t xml:space="preserve">the court </w:t>
      </w:r>
      <w:r w:rsidRPr="009C3F69">
        <w:rPr>
          <w:rFonts w:ascii="Arial" w:hAnsi="Arial" w:cs="Arial"/>
          <w:sz w:val="24"/>
          <w:szCs w:val="24"/>
        </w:rPr>
        <w:t>held that “[T]he right to freedom of thought and expression includes the protection of the right of access to State-held information”.</w:t>
      </w:r>
      <w:r w:rsidRPr="009C3F69">
        <w:rPr>
          <w:rFonts w:ascii="Arial" w:eastAsia="Arial Unicode MS" w:hAnsi="Arial" w:cs="Arial"/>
          <w:sz w:val="24"/>
          <w:szCs w:val="24"/>
        </w:rPr>
        <w:t xml:space="preserve"> Information Tribunal (IT) of the United Kingdom (UK) has interpreted section 1 of the Freedom of Information Act of UK 2000 as a ‘new’ fundamental right to information.</w:t>
      </w:r>
      <w:r w:rsidRPr="009C3F69">
        <w:rPr>
          <w:rStyle w:val="FootnoteReference"/>
          <w:rFonts w:ascii="Arial" w:eastAsia="Arial Unicode MS" w:hAnsi="Arial" w:cs="Arial"/>
          <w:sz w:val="24"/>
          <w:szCs w:val="24"/>
        </w:rPr>
        <w:footnoteReference w:id="75"/>
      </w:r>
      <w:r w:rsidRPr="009C3F69">
        <w:rPr>
          <w:rFonts w:ascii="Arial" w:eastAsia="Arial Unicode MS" w:hAnsi="Arial" w:cs="Arial"/>
          <w:sz w:val="24"/>
          <w:szCs w:val="24"/>
        </w:rPr>
        <w:t xml:space="preserve">Also, the European Court of Human Rights has repeatedly held that Article 10 of the European Convention guarantees not only the right of speakers to impart information and ideas, but also the right of the public to be properly </w:t>
      </w:r>
      <w:r w:rsidRPr="009C3F69">
        <w:rPr>
          <w:rFonts w:ascii="Arial" w:eastAsia="Arial Unicode MS" w:hAnsi="Arial" w:cs="Arial"/>
          <w:sz w:val="24"/>
          <w:szCs w:val="24"/>
        </w:rPr>
        <w:lastRenderedPageBreak/>
        <w:t>informed.</w:t>
      </w:r>
      <w:r w:rsidRPr="009C3F69">
        <w:rPr>
          <w:rStyle w:val="FootnoteReference"/>
          <w:rFonts w:ascii="Arial" w:eastAsia="Arial Unicode MS" w:hAnsi="Arial" w:cs="Arial"/>
          <w:sz w:val="24"/>
          <w:szCs w:val="24"/>
        </w:rPr>
        <w:footnoteReference w:id="76"/>
      </w:r>
      <w:r w:rsidRPr="009C3F69">
        <w:rPr>
          <w:rFonts w:ascii="Arial" w:eastAsia="Arial Unicode MS" w:hAnsi="Arial" w:cs="Arial"/>
          <w:sz w:val="24"/>
          <w:szCs w:val="24"/>
        </w:rPr>
        <w:t xml:space="preserve"> It implies that the right to access information about the activities of government anywhere and everywhere is a fundamental right and the absence of it is a social death.</w:t>
      </w:r>
    </w:p>
    <w:p w:rsidR="00600A30" w:rsidRPr="009C3F69" w:rsidRDefault="00600A30" w:rsidP="004A722B">
      <w:pPr>
        <w:pStyle w:val="FootnoteText"/>
        <w:tabs>
          <w:tab w:val="left" w:pos="0"/>
        </w:tabs>
        <w:spacing w:line="276" w:lineRule="auto"/>
        <w:jc w:val="both"/>
        <w:rPr>
          <w:rFonts w:ascii="Arial" w:eastAsia="Arial Unicode MS" w:hAnsi="Arial" w:cs="Arial"/>
          <w:sz w:val="24"/>
          <w:szCs w:val="24"/>
        </w:rPr>
      </w:pPr>
      <w:bookmarkStart w:id="0" w:name="_GoBack"/>
      <w:bookmarkEnd w:id="0"/>
    </w:p>
    <w:p w:rsidR="00600A30" w:rsidRPr="009C3F69" w:rsidRDefault="00F17C5F" w:rsidP="004A722B">
      <w:pPr>
        <w:pStyle w:val="BlockText"/>
        <w:tabs>
          <w:tab w:val="left" w:pos="0"/>
        </w:tabs>
        <w:spacing w:line="276" w:lineRule="auto"/>
        <w:ind w:left="-360" w:right="-450" w:firstLine="0"/>
        <w:rPr>
          <w:rFonts w:ascii="Arial" w:eastAsia="Arial Unicode MS" w:hAnsi="Arial" w:cs="Arial"/>
          <w:sz w:val="24"/>
          <w:szCs w:val="24"/>
        </w:rPr>
      </w:pPr>
      <w:r w:rsidRPr="009C3F69">
        <w:rPr>
          <w:rFonts w:ascii="Arial" w:eastAsia="Arial Unicode MS" w:hAnsi="Arial" w:cs="Arial"/>
          <w:sz w:val="24"/>
          <w:szCs w:val="24"/>
        </w:rPr>
        <w:t>Generally, chapter II of the 1999 Constitution dealing with Fundamental Objectives and Directive Principles of State Policy are not justiciable. These rights require the affirmative action of government for their implementation.</w:t>
      </w:r>
      <w:r w:rsidRPr="009C3F69">
        <w:rPr>
          <w:rStyle w:val="FootnoteReference"/>
          <w:rFonts w:ascii="Arial" w:eastAsia="Arial Unicode MS" w:hAnsi="Arial" w:cs="Arial"/>
          <w:sz w:val="24"/>
          <w:szCs w:val="24"/>
        </w:rPr>
        <w:footnoteReference w:id="77"/>
      </w:r>
      <w:r w:rsidRPr="009C3F69">
        <w:rPr>
          <w:rFonts w:ascii="Arial" w:eastAsia="Arial Unicode MS" w:hAnsi="Arial" w:cs="Arial"/>
          <w:sz w:val="24"/>
          <w:szCs w:val="24"/>
        </w:rPr>
        <w:t xml:space="preserve"> The state must prescribe positively for socio- political rights to be enforceable. When the National Assembly working with the executive enacted the FOIA whose interest and purport directly touches any objectives in Chapter 2 of the 1999 Constitution, it becomes justiciable and enforceable under chapter IV of the 1999 Constitution in order to fight corruption and promote open government in Nigeria. </w:t>
      </w:r>
      <w:r w:rsidRPr="009C3F69">
        <w:rPr>
          <w:rFonts w:ascii="Arial" w:hAnsi="Arial" w:cs="Arial"/>
          <w:sz w:val="24"/>
          <w:szCs w:val="24"/>
        </w:rPr>
        <w:t xml:space="preserve">In </w:t>
      </w:r>
      <w:r w:rsidRPr="009C3F69">
        <w:rPr>
          <w:rFonts w:ascii="Arial" w:eastAsia="Arial Unicode MS" w:hAnsi="Arial" w:cs="Arial"/>
          <w:sz w:val="24"/>
          <w:szCs w:val="24"/>
        </w:rPr>
        <w:t>A. G. Ondo State v A.G Federation</w:t>
      </w:r>
      <w:r w:rsidRPr="009C3F69">
        <w:rPr>
          <w:rStyle w:val="FootnoteReference"/>
          <w:rFonts w:ascii="Arial" w:eastAsia="Arial Unicode MS" w:hAnsi="Arial" w:cs="Arial"/>
          <w:sz w:val="24"/>
          <w:szCs w:val="24"/>
        </w:rPr>
        <w:footnoteReference w:id="78"/>
      </w:r>
      <w:r w:rsidRPr="009C3F69">
        <w:rPr>
          <w:rFonts w:ascii="Arial" w:eastAsia="Arial Unicode MS" w:hAnsi="Arial" w:cs="Arial"/>
          <w:iCs/>
          <w:sz w:val="24"/>
          <w:szCs w:val="24"/>
        </w:rPr>
        <w:t xml:space="preserve">the Supreme Court of Nigeria held that </w:t>
      </w:r>
      <w:r w:rsidRPr="009C3F69">
        <w:rPr>
          <w:rFonts w:ascii="Arial" w:eastAsia="Arial Unicode MS" w:hAnsi="Arial" w:cs="Arial"/>
          <w:sz w:val="24"/>
          <w:szCs w:val="24"/>
        </w:rPr>
        <w:t>section 15 (5) of chapter 2 of the 1999 Constitution was made justiciable by the enactment of Corrupt Practices and Related Offences Act. Fundamental objectives and directive principles of state policies in chapter 2 of the Constitution set a parameter for the attainment of good leadership and transparency in Nigeria. The challenges of its enforcement have been overwhelmed by recent file opening legislations.</w:t>
      </w:r>
    </w:p>
    <w:p w:rsidR="00600A30" w:rsidRPr="009C3F69" w:rsidRDefault="00600A30" w:rsidP="004A722B">
      <w:pPr>
        <w:pStyle w:val="FootnoteText"/>
        <w:tabs>
          <w:tab w:val="left" w:pos="0"/>
        </w:tabs>
        <w:spacing w:line="276" w:lineRule="auto"/>
        <w:ind w:left="-360"/>
        <w:jc w:val="both"/>
        <w:rPr>
          <w:rFonts w:ascii="Arial" w:eastAsia="Arial Unicode MS" w:hAnsi="Arial" w:cs="Arial"/>
          <w:sz w:val="24"/>
          <w:szCs w:val="24"/>
        </w:rPr>
      </w:pPr>
    </w:p>
    <w:p w:rsidR="00600A30" w:rsidRPr="009C3F69" w:rsidRDefault="00F17C5F" w:rsidP="004A722B">
      <w:pPr>
        <w:pStyle w:val="FootnoteText"/>
        <w:tabs>
          <w:tab w:val="left" w:pos="0"/>
        </w:tabs>
        <w:spacing w:line="276" w:lineRule="auto"/>
        <w:ind w:left="-360"/>
        <w:jc w:val="both"/>
        <w:rPr>
          <w:rFonts w:ascii="Arial" w:eastAsia="Arial Unicode MS" w:hAnsi="Arial" w:cs="Arial"/>
          <w:sz w:val="24"/>
          <w:szCs w:val="24"/>
        </w:rPr>
      </w:pPr>
      <w:r w:rsidRPr="009C3F69">
        <w:rPr>
          <w:rFonts w:ascii="Arial" w:eastAsia="Arial Unicode MS" w:hAnsi="Arial" w:cs="Arial"/>
          <w:sz w:val="24"/>
          <w:szCs w:val="24"/>
        </w:rPr>
        <w:t xml:space="preserve">To guarantee freedom of expression without including access to information is a mechanical exercise, denying in practical term both effective expression and the source. It ultimately murders the goal which free expression seeks to serve. The right of access to information is the principal basis for the statutory protection afforded by the FOIA. It is clear at the outset that the right to know enshrined in the FOIA fits readily into the whole system of fundamental rights in the Constitution. Reduced to its simplest terms, freedom of expression and information include three closely related features; first, the right to see and inadvertently receiving communication, the right to access the information seen and transmitting same for the purpose of protecting other </w:t>
      </w:r>
      <w:r w:rsidRPr="009C3F69">
        <w:rPr>
          <w:rFonts w:ascii="Arial" w:hAnsi="Arial" w:cs="Arial"/>
          <w:sz w:val="24"/>
          <w:szCs w:val="24"/>
        </w:rPr>
        <w:t xml:space="preserve">fundamental rights particular the right to life and others that rest upon it. </w:t>
      </w:r>
      <w:r w:rsidRPr="009C3F69">
        <w:rPr>
          <w:rFonts w:ascii="Arial" w:eastAsia="Arial Unicode MS" w:hAnsi="Arial" w:cs="Arial"/>
          <w:sz w:val="24"/>
          <w:szCs w:val="24"/>
        </w:rPr>
        <w:t xml:space="preserve">Together, this constitutes the reverse side of one piece of a coin, namely ‘freedom of expression’ in section 39 of the Constitution. The primary purpose is to make available to the public, possible information concerning the operations of government or its officials. </w:t>
      </w:r>
    </w:p>
    <w:p w:rsidR="00600A30" w:rsidRPr="009C3F69" w:rsidRDefault="00600A30" w:rsidP="004A722B">
      <w:pPr>
        <w:pStyle w:val="FootnoteText"/>
        <w:tabs>
          <w:tab w:val="left" w:pos="0"/>
        </w:tabs>
        <w:spacing w:line="276" w:lineRule="auto"/>
        <w:ind w:left="-360"/>
        <w:jc w:val="both"/>
        <w:rPr>
          <w:rFonts w:ascii="Arial" w:eastAsia="Arial Unicode MS" w:hAnsi="Arial" w:cs="Arial"/>
          <w:sz w:val="24"/>
          <w:szCs w:val="24"/>
        </w:rPr>
      </w:pPr>
    </w:p>
    <w:p w:rsidR="00600A30" w:rsidRPr="009C3F69" w:rsidRDefault="00F17C5F" w:rsidP="004A722B">
      <w:pPr>
        <w:pStyle w:val="FootnoteText"/>
        <w:tabs>
          <w:tab w:val="left" w:pos="0"/>
        </w:tabs>
        <w:spacing w:line="276" w:lineRule="auto"/>
        <w:ind w:left="-360"/>
        <w:jc w:val="both"/>
        <w:rPr>
          <w:rFonts w:ascii="Arial" w:eastAsia="Arial Unicode MS" w:hAnsi="Arial" w:cs="Arial"/>
          <w:sz w:val="24"/>
          <w:szCs w:val="24"/>
        </w:rPr>
      </w:pPr>
      <w:r w:rsidRPr="009C3F69">
        <w:rPr>
          <w:rFonts w:ascii="Arial" w:hAnsi="Arial" w:cs="Arial"/>
          <w:sz w:val="24"/>
          <w:szCs w:val="24"/>
        </w:rPr>
        <w:t>It is presumed that access to information is barred when the institution fails to disclose the information or record applied for.</w:t>
      </w:r>
      <w:r w:rsidRPr="009C3F69">
        <w:rPr>
          <w:rStyle w:val="FootnoteReference"/>
          <w:rFonts w:ascii="Arial" w:hAnsi="Arial" w:cs="Arial"/>
          <w:sz w:val="24"/>
          <w:szCs w:val="24"/>
        </w:rPr>
        <w:footnoteReference w:id="79"/>
      </w:r>
      <w:r w:rsidRPr="009C3F69">
        <w:rPr>
          <w:rFonts w:ascii="Arial" w:hAnsi="Arial" w:cs="Arial"/>
          <w:sz w:val="24"/>
          <w:szCs w:val="24"/>
        </w:rPr>
        <w:t xml:space="preserve"> Where an application for information is turned down, without apparent justification, it amounts to government abuse of information.</w:t>
      </w:r>
      <w:r w:rsidRPr="009C3F69">
        <w:rPr>
          <w:rStyle w:val="FootnoteReference"/>
          <w:rFonts w:ascii="Arial" w:hAnsi="Arial" w:cs="Arial"/>
          <w:sz w:val="24"/>
          <w:szCs w:val="24"/>
        </w:rPr>
        <w:footnoteReference w:id="80"/>
      </w:r>
      <w:r w:rsidRPr="009C3F69">
        <w:rPr>
          <w:rFonts w:ascii="Arial" w:eastAsia="Arial Unicode MS" w:hAnsi="Arial" w:cs="Arial"/>
          <w:sz w:val="24"/>
          <w:szCs w:val="24"/>
        </w:rPr>
        <w:t xml:space="preserve">Disclosure of public information is a legal or constitutional obligation owed by government to the </w:t>
      </w:r>
      <w:r w:rsidRPr="009C3F69">
        <w:rPr>
          <w:rFonts w:ascii="Arial" w:eastAsia="Arial Unicode MS" w:hAnsi="Arial" w:cs="Arial"/>
          <w:sz w:val="24"/>
          <w:szCs w:val="24"/>
        </w:rPr>
        <w:lastRenderedPageBreak/>
        <w:t>populace, which may be compelled to so do by activist judiciary.</w:t>
      </w:r>
      <w:r w:rsidRPr="009C3F69">
        <w:rPr>
          <w:rStyle w:val="FootnoteReference"/>
          <w:rFonts w:ascii="Arial" w:eastAsia="Arial Unicode MS" w:hAnsi="Arial" w:cs="Arial"/>
          <w:sz w:val="24"/>
          <w:szCs w:val="24"/>
        </w:rPr>
        <w:footnoteReference w:id="81"/>
      </w:r>
      <w:r w:rsidRPr="009C3F69">
        <w:rPr>
          <w:rFonts w:ascii="Arial" w:hAnsi="Arial" w:cs="Arial"/>
          <w:sz w:val="24"/>
          <w:szCs w:val="24"/>
        </w:rPr>
        <w:t>Many of the newly adopted or amended constitutions across globe expressly incorporate the right to access governmentally held information in the constitution,</w:t>
      </w:r>
      <w:r w:rsidRPr="009C3F69">
        <w:rPr>
          <w:rStyle w:val="FootnoteReference"/>
          <w:rFonts w:ascii="Arial" w:hAnsi="Arial" w:cs="Arial"/>
          <w:sz w:val="24"/>
          <w:szCs w:val="24"/>
        </w:rPr>
        <w:footnoteReference w:id="82"/>
      </w:r>
      <w:r w:rsidRPr="009C3F69">
        <w:rPr>
          <w:rFonts w:ascii="Arial" w:hAnsi="Arial" w:cs="Arial"/>
          <w:sz w:val="24"/>
          <w:szCs w:val="24"/>
        </w:rPr>
        <w:t xml:space="preserve"> while others legislate on it at the national level to be enforced through the constitution. </w:t>
      </w:r>
      <w:r w:rsidRPr="009C3F69">
        <w:rPr>
          <w:rFonts w:ascii="Arial" w:eastAsia="Arial Unicode MS" w:hAnsi="Arial" w:cs="Arial"/>
          <w:sz w:val="24"/>
          <w:szCs w:val="24"/>
        </w:rPr>
        <w:t>The right to access information about government is enshrined in the Slovakia Constitution,</w:t>
      </w:r>
      <w:r w:rsidRPr="009C3F69">
        <w:rPr>
          <w:rStyle w:val="FootnoteReference"/>
          <w:rFonts w:ascii="Arial" w:eastAsia="Arial Unicode MS" w:hAnsi="Arial" w:cs="Arial"/>
          <w:sz w:val="24"/>
          <w:szCs w:val="24"/>
        </w:rPr>
        <w:footnoteReference w:id="83"/>
      </w:r>
      <w:r w:rsidRPr="009C3F69">
        <w:rPr>
          <w:rFonts w:ascii="Arial" w:eastAsia="Arial Unicode MS" w:hAnsi="Arial" w:cs="Arial"/>
          <w:sz w:val="24"/>
          <w:szCs w:val="24"/>
        </w:rPr>
        <w:t xml:space="preserve"> so also the </w:t>
      </w:r>
      <w:r w:rsidRPr="009C3F69">
        <w:rPr>
          <w:rFonts w:ascii="Arial" w:hAnsi="Arial" w:cs="Arial"/>
          <w:bCs/>
          <w:sz w:val="24"/>
          <w:szCs w:val="24"/>
        </w:rPr>
        <w:t xml:space="preserve">Promotion of Access to Information Act (PAIA) 2000 </w:t>
      </w:r>
      <w:r w:rsidRPr="009C3F69">
        <w:rPr>
          <w:rFonts w:ascii="Arial" w:eastAsia="Arial Unicode MS" w:hAnsi="Arial" w:cs="Arial"/>
          <w:sz w:val="24"/>
          <w:szCs w:val="24"/>
        </w:rPr>
        <w:t xml:space="preserve">of </w:t>
      </w:r>
      <w:r w:rsidRPr="009C3F69">
        <w:rPr>
          <w:rFonts w:ascii="Arial" w:hAnsi="Arial" w:cs="Arial"/>
          <w:sz w:val="24"/>
          <w:szCs w:val="24"/>
        </w:rPr>
        <w:t xml:space="preserve">South Africa which is the oldest freedom of information law in Africa. </w:t>
      </w:r>
      <w:r w:rsidRPr="009C3F69">
        <w:rPr>
          <w:rFonts w:ascii="Arial" w:hAnsi="Arial" w:cs="Arial"/>
          <w:bCs/>
          <w:sz w:val="24"/>
          <w:szCs w:val="24"/>
        </w:rPr>
        <w:t xml:space="preserve">PAIA of South Africa </w:t>
      </w:r>
      <w:r w:rsidRPr="009C3F69">
        <w:rPr>
          <w:rFonts w:ascii="Arial" w:hAnsi="Arial" w:cs="Arial"/>
          <w:sz w:val="24"/>
          <w:szCs w:val="24"/>
        </w:rPr>
        <w:t>allows access to information held by the state and individual so as to give effect to the constitutional obligation of promoting human rights culture and social justice.</w:t>
      </w:r>
      <w:r w:rsidRPr="009C3F69">
        <w:rPr>
          <w:rStyle w:val="FootnoteReference"/>
          <w:rFonts w:ascii="Arial" w:hAnsi="Arial" w:cs="Arial"/>
          <w:sz w:val="24"/>
          <w:szCs w:val="24"/>
        </w:rPr>
        <w:footnoteReference w:id="84"/>
      </w:r>
      <w:r w:rsidRPr="009C3F69">
        <w:rPr>
          <w:rFonts w:ascii="Arial" w:eastAsia="Calibri" w:hAnsi="Arial" w:cs="Arial"/>
          <w:sz w:val="24"/>
          <w:szCs w:val="24"/>
        </w:rPr>
        <w:t>Section 32 of the Constitution of the Republic of South Africa states that “everyone has the right of access to any information held by the state or another person that is required for the exercise or protection of any rights”.</w:t>
      </w:r>
      <w:r w:rsidRPr="009C3F69">
        <w:rPr>
          <w:rStyle w:val="FootnoteReference"/>
          <w:rFonts w:ascii="Arial" w:hAnsi="Arial" w:cs="Arial"/>
          <w:sz w:val="24"/>
          <w:szCs w:val="24"/>
        </w:rPr>
        <w:footnoteReference w:id="85"/>
      </w:r>
      <w:r w:rsidRPr="009C3F69">
        <w:rPr>
          <w:rFonts w:ascii="Arial" w:eastAsia="Arial Unicode MS" w:hAnsi="Arial" w:cs="Arial"/>
          <w:sz w:val="24"/>
          <w:szCs w:val="24"/>
        </w:rPr>
        <w:t>Similarly, the Right to Information Act 2009of Bangladesh gave express recognition to freedom of thought, conscience and speech in the Constitution of Bangladesh</w:t>
      </w:r>
      <w:r w:rsidRPr="009C3F69">
        <w:rPr>
          <w:rStyle w:val="FootnoteReference"/>
          <w:rFonts w:ascii="Arial" w:eastAsia="Arial Unicode MS" w:hAnsi="Arial" w:cs="Arial"/>
          <w:sz w:val="24"/>
          <w:szCs w:val="24"/>
        </w:rPr>
        <w:footnoteReference w:id="86"/>
      </w:r>
      <w:r w:rsidRPr="009C3F69">
        <w:rPr>
          <w:rFonts w:ascii="Arial" w:eastAsia="Arial Unicode MS" w:hAnsi="Arial" w:cs="Arial"/>
          <w:sz w:val="24"/>
          <w:szCs w:val="24"/>
        </w:rPr>
        <w:t xml:space="preserve"> as part of the fundamental rights to be enforced under the Act. So also the </w:t>
      </w:r>
      <w:r w:rsidRPr="009C3F69">
        <w:rPr>
          <w:rFonts w:ascii="Arial" w:hAnsi="Arial" w:cs="Arial"/>
          <w:sz w:val="24"/>
          <w:szCs w:val="24"/>
        </w:rPr>
        <w:t>Constitution of Brazil stands out for its legal foundation of guaranteeing the right of access to governmentally-held information.</w:t>
      </w:r>
      <w:r w:rsidRPr="009C3F69">
        <w:rPr>
          <w:rStyle w:val="FootnoteReference"/>
          <w:rFonts w:ascii="Arial" w:hAnsi="Arial" w:cs="Arial"/>
          <w:sz w:val="24"/>
          <w:szCs w:val="24"/>
        </w:rPr>
        <w:footnoteReference w:id="87"/>
      </w:r>
      <w:r w:rsidRPr="009C3F69">
        <w:rPr>
          <w:rFonts w:ascii="Arial" w:hAnsi="Arial" w:cs="Arial"/>
          <w:sz w:val="24"/>
          <w:szCs w:val="24"/>
        </w:rPr>
        <w:t xml:space="preserve"> As far as these new constitutions reflect cardinal political changes, the incorporation of the right to the publicity of documents in the newly adopted constitutions testifies to the official repudiation of the principle of secrecy in handling official information, paving the way for a genuine accommodation of the principle of transparency in public administration in national legal systems.</w:t>
      </w:r>
      <w:r w:rsidRPr="009C3F69">
        <w:rPr>
          <w:rStyle w:val="FootnoteReference"/>
          <w:rFonts w:ascii="Arial" w:hAnsi="Arial" w:cs="Arial"/>
          <w:sz w:val="24"/>
          <w:szCs w:val="24"/>
        </w:rPr>
        <w:footnoteReference w:id="88"/>
      </w:r>
      <w:r w:rsidRPr="009C3F69">
        <w:rPr>
          <w:rFonts w:ascii="Arial" w:eastAsia="Arial Unicode MS" w:hAnsi="Arial" w:cs="Arial"/>
          <w:sz w:val="24"/>
          <w:szCs w:val="24"/>
        </w:rPr>
        <w:t>It is to the same of freedom of expression that right to information is struggling for recognition.</w:t>
      </w:r>
    </w:p>
    <w:p w:rsidR="00600A30" w:rsidRPr="009C3F69" w:rsidRDefault="00600A30" w:rsidP="004A722B">
      <w:pPr>
        <w:pStyle w:val="FootnoteText"/>
        <w:tabs>
          <w:tab w:val="left" w:pos="0"/>
        </w:tabs>
        <w:spacing w:line="276" w:lineRule="auto"/>
        <w:ind w:left="-360"/>
        <w:jc w:val="both"/>
        <w:rPr>
          <w:rFonts w:ascii="Arial" w:eastAsia="Arial Unicode MS" w:hAnsi="Arial" w:cs="Arial"/>
          <w:sz w:val="24"/>
          <w:szCs w:val="24"/>
        </w:rPr>
      </w:pPr>
    </w:p>
    <w:p w:rsidR="00600A30" w:rsidRPr="009C3F69" w:rsidRDefault="00F17C5F" w:rsidP="004A722B">
      <w:pPr>
        <w:tabs>
          <w:tab w:val="left" w:pos="0"/>
        </w:tabs>
        <w:ind w:left="-360"/>
        <w:jc w:val="both"/>
        <w:rPr>
          <w:rFonts w:ascii="Arial" w:eastAsia="Arial Unicode MS" w:hAnsi="Arial" w:cs="Arial"/>
          <w:sz w:val="24"/>
          <w:szCs w:val="24"/>
        </w:rPr>
      </w:pPr>
      <w:r w:rsidRPr="009C3F69">
        <w:rPr>
          <w:rFonts w:ascii="Arial" w:eastAsia="Arial Unicode MS" w:hAnsi="Arial" w:cs="Arial"/>
          <w:sz w:val="24"/>
          <w:szCs w:val="24"/>
        </w:rPr>
        <w:t>Government is the institutional framework of administering public and social services for the benefit of the people.</w:t>
      </w:r>
      <w:r w:rsidRPr="009C3F69">
        <w:rPr>
          <w:rStyle w:val="FootnoteReference"/>
          <w:rFonts w:ascii="Arial" w:eastAsia="Arial Unicode MS" w:hAnsi="Arial" w:cs="Arial"/>
          <w:sz w:val="24"/>
          <w:szCs w:val="24"/>
        </w:rPr>
        <w:footnoteReference w:id="89"/>
      </w:r>
      <w:r w:rsidRPr="009C3F69">
        <w:rPr>
          <w:rFonts w:ascii="Arial" w:eastAsia="Arial Unicode MS" w:hAnsi="Arial" w:cs="Arial"/>
          <w:sz w:val="24"/>
          <w:szCs w:val="24"/>
        </w:rPr>
        <w:t xml:space="preserve"> The right of access to information about government is in 1999 Constitution, the administration of government information is the salvation that the legislators have given to the vulnerable public through FOIA. </w:t>
      </w:r>
      <w:r w:rsidRPr="009C3F69">
        <w:rPr>
          <w:rFonts w:ascii="Arial" w:hAnsi="Arial" w:cs="Arial"/>
          <w:sz w:val="24"/>
          <w:szCs w:val="24"/>
        </w:rPr>
        <w:t xml:space="preserve">Section 39 of the 1999 Constitution of Nigeria </w:t>
      </w:r>
      <w:r w:rsidRPr="009C3F69">
        <w:rPr>
          <w:rFonts w:ascii="Arial" w:eastAsia="Arial Unicode MS" w:hAnsi="Arial" w:cs="Arial"/>
          <w:sz w:val="24"/>
          <w:szCs w:val="24"/>
        </w:rPr>
        <w:t xml:space="preserve">states that “every person shall be entitled to freedom of expression, including freedom to hold opinions and to receive and impart ideas and information without </w:t>
      </w:r>
      <w:r w:rsidRPr="009C3F69">
        <w:rPr>
          <w:rFonts w:ascii="Arial" w:eastAsia="Arial Unicode MS" w:hAnsi="Arial" w:cs="Arial"/>
          <w:sz w:val="24"/>
          <w:szCs w:val="24"/>
        </w:rPr>
        <w:lastRenderedPageBreak/>
        <w:t>interference”. This is pari mate</w:t>
      </w:r>
      <w:r w:rsidRPr="009C3F69">
        <w:rPr>
          <w:rFonts w:ascii="Arial" w:eastAsia="Arial Unicode MS" w:hAnsi="Arial" w:cs="Arial"/>
          <w:i/>
          <w:sz w:val="24"/>
          <w:szCs w:val="24"/>
        </w:rPr>
        <w:t>ria</w:t>
      </w:r>
      <w:r w:rsidRPr="009C3F69">
        <w:rPr>
          <w:rFonts w:ascii="Arial" w:eastAsia="Arial Unicode MS" w:hAnsi="Arial" w:cs="Arial"/>
          <w:sz w:val="24"/>
          <w:szCs w:val="24"/>
        </w:rPr>
        <w:t xml:space="preserve"> with Article 19(1) (a) of the India Constitution of 1949. The literal explanation of the words making up section 39 of the 1999 Constitution makes sense to interpret the inclusion of freedom to access information or </w:t>
      </w:r>
      <w:r w:rsidRPr="009C3F69">
        <w:rPr>
          <w:rFonts w:ascii="Arial" w:eastAsia="Arial Unicode MS" w:hAnsi="Arial" w:cs="Arial"/>
          <w:iCs/>
          <w:sz w:val="24"/>
          <w:szCs w:val="24"/>
        </w:rPr>
        <w:t xml:space="preserve">seek </w:t>
      </w:r>
      <w:r w:rsidRPr="009C3F69">
        <w:rPr>
          <w:rFonts w:ascii="Arial" w:eastAsia="Arial Unicode MS" w:hAnsi="Arial" w:cs="Arial"/>
          <w:sz w:val="24"/>
          <w:szCs w:val="24"/>
        </w:rPr>
        <w:t>information, particularly in conjunction with the right to receive it, as placing an obligation on government to provide access to information it holds. In the case of Agbakoa v SSS</w:t>
      </w:r>
      <w:r w:rsidRPr="009C3F69">
        <w:rPr>
          <w:rStyle w:val="FootnoteReference"/>
          <w:rFonts w:ascii="Arial" w:eastAsia="Arial Unicode MS" w:hAnsi="Arial" w:cs="Arial"/>
          <w:sz w:val="24"/>
          <w:szCs w:val="24"/>
        </w:rPr>
        <w:footnoteReference w:id="90"/>
      </w:r>
      <w:r w:rsidRPr="009C3F69">
        <w:rPr>
          <w:rFonts w:ascii="Arial" w:eastAsia="Arial Unicode MS" w:hAnsi="Arial" w:cs="Arial"/>
          <w:sz w:val="24"/>
          <w:szCs w:val="24"/>
        </w:rPr>
        <w:t xml:space="preserve"> Ayoola JCA stated that; “It is for the courts to fill the fundamental rights such as would fulfill their purpose and infuse them with life”.</w:t>
      </w:r>
      <w:r w:rsidRPr="009C3F69">
        <w:rPr>
          <w:rStyle w:val="FootnoteReference"/>
          <w:rFonts w:ascii="Arial" w:eastAsia="Arial Unicode MS" w:hAnsi="Arial" w:cs="Arial"/>
          <w:sz w:val="24"/>
          <w:szCs w:val="24"/>
        </w:rPr>
        <w:footnoteReference w:id="91"/>
      </w:r>
      <w:r w:rsidRPr="009C3F69">
        <w:rPr>
          <w:rFonts w:ascii="Arial" w:eastAsia="Arial Unicode MS" w:hAnsi="Arial" w:cs="Arial"/>
          <w:sz w:val="24"/>
          <w:szCs w:val="24"/>
        </w:rPr>
        <w:t xml:space="preserve"> The word “impart ideas and information without interference,” means to communicate knowledge of or to disclose information, thought or opinion without interference.</w:t>
      </w:r>
      <w:r w:rsidRPr="009C3F69">
        <w:rPr>
          <w:rStyle w:val="FootnoteReference"/>
          <w:rFonts w:ascii="Arial" w:eastAsia="Arial Unicode MS" w:hAnsi="Arial" w:cs="Arial"/>
          <w:sz w:val="24"/>
          <w:szCs w:val="24"/>
        </w:rPr>
        <w:footnoteReference w:id="92"/>
      </w:r>
      <w:r w:rsidRPr="009C3F69">
        <w:rPr>
          <w:rFonts w:ascii="Arial" w:eastAsia="Arial Unicode MS" w:hAnsi="Arial" w:cs="Arial"/>
          <w:sz w:val="24"/>
          <w:szCs w:val="24"/>
        </w:rPr>
        <w:t xml:space="preserve"> The word “to hold opinion” means to hold a view, judgment formed in the mind about a particular matter.</w:t>
      </w:r>
      <w:r w:rsidRPr="009C3F69">
        <w:rPr>
          <w:rStyle w:val="FootnoteReference"/>
          <w:rFonts w:ascii="Arial" w:eastAsia="Arial Unicode MS" w:hAnsi="Arial" w:cs="Arial"/>
          <w:sz w:val="24"/>
          <w:szCs w:val="24"/>
        </w:rPr>
        <w:footnoteReference w:id="93"/>
      </w:r>
      <w:r w:rsidRPr="009C3F69">
        <w:rPr>
          <w:rFonts w:ascii="Arial" w:eastAsia="Arial Unicode MS" w:hAnsi="Arial" w:cs="Arial"/>
          <w:sz w:val="24"/>
          <w:szCs w:val="24"/>
        </w:rPr>
        <w:t xml:space="preserve"> To “receive” means to acquire or come into possession.</w:t>
      </w:r>
      <w:r w:rsidRPr="009C3F69">
        <w:rPr>
          <w:rStyle w:val="FootnoteReference"/>
          <w:rFonts w:ascii="Arial" w:eastAsia="Arial Unicode MS" w:hAnsi="Arial" w:cs="Arial"/>
          <w:sz w:val="24"/>
          <w:szCs w:val="24"/>
        </w:rPr>
        <w:footnoteReference w:id="94"/>
      </w:r>
      <w:r w:rsidRPr="009C3F69">
        <w:rPr>
          <w:rFonts w:ascii="Arial" w:eastAsia="Arial Unicode MS" w:hAnsi="Arial" w:cs="Arial"/>
          <w:sz w:val="24"/>
          <w:szCs w:val="24"/>
        </w:rPr>
        <w:t xml:space="preserve"> There are a number of good reasons – both practical and principled.</w:t>
      </w:r>
      <w:r w:rsidRPr="009C3F69">
        <w:rPr>
          <w:rStyle w:val="FootnoteReference"/>
          <w:rFonts w:ascii="Arial" w:eastAsia="Arial Unicode MS" w:hAnsi="Arial" w:cs="Arial"/>
          <w:sz w:val="24"/>
          <w:szCs w:val="24"/>
        </w:rPr>
        <w:footnoteReference w:id="95"/>
      </w:r>
      <w:r w:rsidRPr="009C3F69">
        <w:rPr>
          <w:rFonts w:ascii="Arial" w:eastAsia="Arial Unicode MS" w:hAnsi="Arial" w:cs="Arial"/>
          <w:sz w:val="24"/>
          <w:szCs w:val="24"/>
        </w:rPr>
        <w:t xml:space="preserve"> In Government of India v. Cricket Association of Bengal,</w:t>
      </w:r>
      <w:r w:rsidRPr="009C3F69">
        <w:rPr>
          <w:rStyle w:val="FootnoteReference"/>
          <w:rFonts w:ascii="Arial" w:eastAsia="Arial Unicode MS" w:hAnsi="Arial" w:cs="Arial"/>
          <w:sz w:val="24"/>
          <w:szCs w:val="24"/>
        </w:rPr>
        <w:footnoteReference w:id="96"/>
      </w:r>
      <w:r w:rsidRPr="009C3F69">
        <w:rPr>
          <w:rFonts w:ascii="Arial" w:eastAsia="Arial Unicode MS" w:hAnsi="Arial" w:cs="Arial"/>
          <w:sz w:val="24"/>
          <w:szCs w:val="24"/>
        </w:rPr>
        <w:t xml:space="preserve"> the Supreme Court of India held that freedom of speech and expression includes the right to acquire information and to disseminate same. Also in Association for Democratic Reforms v Union of India,</w:t>
      </w:r>
      <w:r w:rsidRPr="009C3F69">
        <w:rPr>
          <w:rStyle w:val="FootnoteReference"/>
          <w:rFonts w:ascii="Arial" w:eastAsia="Arial Unicode MS" w:hAnsi="Arial" w:cs="Arial"/>
          <w:sz w:val="24"/>
          <w:szCs w:val="24"/>
        </w:rPr>
        <w:footnoteReference w:id="97"/>
      </w:r>
      <w:r w:rsidRPr="009C3F69">
        <w:rPr>
          <w:rFonts w:ascii="Arial" w:eastAsia="Arial Unicode MS" w:hAnsi="Arial" w:cs="Arial"/>
          <w:sz w:val="24"/>
          <w:szCs w:val="24"/>
        </w:rPr>
        <w:t xml:space="preserve"> the Supreme Court of Indian agreed with the Delhi High Court and upheld the right of a voter to know about the antecedents of a candidate as part of his fundamental right under article 19(1) (a) of the 1949 Constitution of India. The Supreme Court of Sri Lanka noted that a right to freedom of information, while not necessarily included within the guarantee of freedom of speech, for that “would be to equate reading to writing and listening to speaking” may well be part of the guarantee of freedom of thought and opinion.</w:t>
      </w:r>
      <w:r w:rsidRPr="009C3F69">
        <w:rPr>
          <w:rStyle w:val="FootnoteReference"/>
          <w:rFonts w:ascii="Arial" w:eastAsia="Arial Unicode MS" w:hAnsi="Arial" w:cs="Arial"/>
          <w:sz w:val="24"/>
          <w:szCs w:val="24"/>
        </w:rPr>
        <w:footnoteReference w:id="98"/>
      </w:r>
      <w:r w:rsidRPr="009C3F69">
        <w:rPr>
          <w:rFonts w:ascii="Arial" w:eastAsia="Arial Unicode MS" w:hAnsi="Arial" w:cs="Arial"/>
          <w:sz w:val="24"/>
          <w:szCs w:val="24"/>
        </w:rPr>
        <w:t xml:space="preserve"> A narrow and literal construction of ‘information’ in section 39 of the 1999 Constitution will make freedom of expression arid in the sphere of human rights jurisprudence which will retard the realizations, enjoyment and protection of other fundamental rights in the constitution. Freedom of expression and information are pillars of most democratic experience, except in Nigeria a country that is democratic only in system and events.</w:t>
      </w:r>
    </w:p>
    <w:p w:rsidR="00600A30" w:rsidRPr="009C3F69" w:rsidRDefault="00F17C5F" w:rsidP="004A722B">
      <w:pPr>
        <w:pStyle w:val="FootnoteText"/>
        <w:tabs>
          <w:tab w:val="left" w:pos="0"/>
        </w:tabs>
        <w:spacing w:line="276" w:lineRule="auto"/>
        <w:ind w:left="-360"/>
        <w:jc w:val="both"/>
        <w:rPr>
          <w:rFonts w:ascii="Arial" w:eastAsia="Arial Unicode MS" w:hAnsi="Arial" w:cs="Arial"/>
          <w:sz w:val="24"/>
          <w:szCs w:val="24"/>
        </w:rPr>
      </w:pPr>
      <w:r w:rsidRPr="009C3F69">
        <w:rPr>
          <w:rFonts w:ascii="Arial" w:eastAsia="Arial Unicode MS" w:hAnsi="Arial" w:cs="Arial"/>
          <w:sz w:val="24"/>
          <w:szCs w:val="24"/>
        </w:rPr>
        <w:t xml:space="preserve">A divorce party for expression and information is a sick way of celebrating the advancement of corpus of fundamental rights. The right to information is intimately linked with expression in every serious effort to demonstrate respect for the rule of law because it is freedom of information that really secures the freedom after expression. The Constitution </w:t>
      </w:r>
      <w:r w:rsidRPr="009C3F69">
        <w:rPr>
          <w:rFonts w:ascii="Arial" w:eastAsia="Arial Unicode MS" w:hAnsi="Arial" w:cs="Arial"/>
          <w:sz w:val="24"/>
          <w:szCs w:val="24"/>
        </w:rPr>
        <w:lastRenderedPageBreak/>
        <w:t>of Nigeria ensures participation by the public in their government.</w:t>
      </w:r>
      <w:r w:rsidRPr="009C3F69">
        <w:rPr>
          <w:rStyle w:val="FootnoteReference"/>
          <w:rFonts w:ascii="Arial" w:eastAsia="Arial Unicode MS" w:hAnsi="Arial" w:cs="Arial"/>
          <w:sz w:val="24"/>
          <w:szCs w:val="24"/>
        </w:rPr>
        <w:footnoteReference w:id="99"/>
      </w:r>
      <w:r w:rsidRPr="009C3F69">
        <w:rPr>
          <w:rFonts w:ascii="Arial" w:eastAsia="Arial Unicode MS" w:hAnsi="Arial" w:cs="Arial"/>
          <w:sz w:val="24"/>
          <w:szCs w:val="24"/>
        </w:rPr>
        <w:t xml:space="preserve"> The right to information</w:t>
      </w:r>
      <w:r w:rsidRPr="009C3F69">
        <w:rPr>
          <w:rFonts w:ascii="Arial" w:eastAsia="Calibri" w:hAnsi="Arial" w:cs="Arial"/>
          <w:iCs/>
          <w:sz w:val="24"/>
          <w:szCs w:val="24"/>
        </w:rPr>
        <w:t xml:space="preserve"> is sufficiently precise as to give rise to identifiable rights and obligations</w:t>
      </w:r>
      <w:r w:rsidRPr="009C3F69">
        <w:rPr>
          <w:rStyle w:val="FootnoteReference"/>
          <w:rFonts w:ascii="Arial" w:eastAsia="Calibri" w:hAnsi="Arial" w:cs="Arial"/>
          <w:iCs/>
          <w:sz w:val="24"/>
          <w:szCs w:val="24"/>
        </w:rPr>
        <w:footnoteReference w:id="100"/>
      </w:r>
      <w:r w:rsidRPr="009C3F69">
        <w:rPr>
          <w:rFonts w:ascii="Arial" w:eastAsia="Arial Unicode MS" w:hAnsi="Arial" w:cs="Arial"/>
          <w:sz w:val="24"/>
          <w:szCs w:val="24"/>
        </w:rPr>
        <w:t>of expression in contemporary societies. The growth in government functions compels greater unhindered intervention of men in the affairs of selected men. The right to information is a necessary ingredient of participatory democracy because there is a symbiotic relationship between the right to information, freedom of expression and democratic participation, as they are organically integrated. The participation in democracy progresses in an informed environment, after all information is the fundamental lifeline of democracy.  The centrality of the right to information or freedom of expression is explained in three key ways; as an aspect of human dignity, as the best means of ascertaining the truth on record and as a fundamental underpinning of democratic</w:t>
      </w:r>
      <w:r w:rsidRPr="009C3F69">
        <w:rPr>
          <w:rStyle w:val="FootnoteReference"/>
          <w:rFonts w:ascii="Arial" w:eastAsia="Arial Unicode MS" w:hAnsi="Arial" w:cs="Arial"/>
          <w:sz w:val="24"/>
          <w:szCs w:val="24"/>
        </w:rPr>
        <w:footnoteReference w:id="101"/>
      </w:r>
      <w:r w:rsidRPr="009C3F69">
        <w:rPr>
          <w:rFonts w:ascii="Arial" w:eastAsia="Arial Unicode MS" w:hAnsi="Arial" w:cs="Arial"/>
          <w:sz w:val="24"/>
          <w:szCs w:val="24"/>
        </w:rPr>
        <w:t xml:space="preserve"> participation. Government robs its citizens not only of knowledge, but also of fundamental right to expression and participation in governance where they fail to share information with the public or reneges in working with the feedback. Participation in government and publicity about the working of the government, which right to information promotes is a consistent theme in fundamental rights advocacy. Ideally, the right to information stands on the fulcrum of non-compromise of the integrity of the information acquired and expressed and ensuring that the privacy of individuals is not unduly jeopardized.</w:t>
      </w:r>
    </w:p>
    <w:p w:rsidR="00600A30" w:rsidRPr="009C3F69" w:rsidRDefault="00600A30" w:rsidP="004A722B">
      <w:pPr>
        <w:pStyle w:val="ListParagraph1"/>
        <w:tabs>
          <w:tab w:val="left" w:pos="0"/>
        </w:tabs>
        <w:ind w:left="-360"/>
        <w:jc w:val="both"/>
        <w:rPr>
          <w:rFonts w:ascii="Arial" w:eastAsia="Arial Unicode MS" w:hAnsi="Arial" w:cs="Arial"/>
          <w:sz w:val="24"/>
          <w:szCs w:val="24"/>
        </w:rPr>
      </w:pPr>
    </w:p>
    <w:p w:rsidR="00600A30" w:rsidRPr="009C3F69" w:rsidRDefault="00F17C5F" w:rsidP="004A722B">
      <w:pPr>
        <w:pStyle w:val="ListParagraph1"/>
        <w:tabs>
          <w:tab w:val="left" w:pos="0"/>
        </w:tabs>
        <w:ind w:left="-360"/>
        <w:jc w:val="both"/>
        <w:rPr>
          <w:rFonts w:ascii="Arial" w:eastAsia="Arial Unicode MS" w:hAnsi="Arial" w:cs="Arial"/>
          <w:sz w:val="24"/>
          <w:szCs w:val="24"/>
        </w:rPr>
      </w:pPr>
      <w:r w:rsidRPr="009C3F69">
        <w:rPr>
          <w:rFonts w:ascii="Arial" w:eastAsia="Arial Unicode MS" w:hAnsi="Arial" w:cs="Arial"/>
          <w:sz w:val="24"/>
          <w:szCs w:val="24"/>
        </w:rPr>
        <w:t>Jeremy Bentham</w:t>
      </w:r>
      <w:r w:rsidRPr="009C3F69">
        <w:rPr>
          <w:rStyle w:val="FootnoteReference"/>
          <w:rFonts w:ascii="Arial" w:eastAsia="Arial Unicode MS" w:hAnsi="Arial" w:cs="Arial"/>
          <w:sz w:val="24"/>
          <w:szCs w:val="24"/>
        </w:rPr>
        <w:footnoteReference w:id="102"/>
      </w:r>
      <w:r w:rsidRPr="009C3F69">
        <w:rPr>
          <w:rFonts w:ascii="Arial" w:eastAsia="Arial Unicode MS" w:hAnsi="Arial" w:cs="Arial"/>
          <w:sz w:val="24"/>
          <w:szCs w:val="24"/>
        </w:rPr>
        <w:t xml:space="preserve"> represented the rational impulse which insisted on the goodness of information to all. According to him “what can we reason, but from what we know.” </w:t>
      </w:r>
      <w:r w:rsidRPr="009C3F69">
        <w:rPr>
          <w:rFonts w:ascii="Arial" w:eastAsia="Arial Unicode MS" w:hAnsi="Arial" w:cs="Arial"/>
          <w:iCs/>
          <w:sz w:val="24"/>
          <w:szCs w:val="24"/>
        </w:rPr>
        <w:t xml:space="preserve">Similarly, </w:t>
      </w:r>
      <w:r w:rsidRPr="009C3F69">
        <w:rPr>
          <w:rFonts w:ascii="Arial" w:eastAsia="Arial Unicode MS" w:hAnsi="Arial" w:cs="Arial"/>
          <w:sz w:val="24"/>
          <w:szCs w:val="24"/>
        </w:rPr>
        <w:t xml:space="preserve">Asia’s first Nobel Laureate, </w:t>
      </w:r>
      <w:r w:rsidRPr="004A722B">
        <w:rPr>
          <w:rFonts w:ascii="Arial" w:eastAsia="Arial Unicode MS" w:hAnsi="Arial" w:cs="Arial"/>
          <w:i/>
          <w:sz w:val="24"/>
          <w:szCs w:val="24"/>
        </w:rPr>
        <w:t>Rabindranath Tagore</w:t>
      </w:r>
      <w:r w:rsidRPr="009C3F69">
        <w:rPr>
          <w:rFonts w:ascii="Arial" w:eastAsia="Arial Unicode MS" w:hAnsi="Arial" w:cs="Arial"/>
          <w:sz w:val="24"/>
          <w:szCs w:val="24"/>
        </w:rPr>
        <w:t>, in a prayer and wish of mind without fear for his country stated that “where the mind is without fear and where knowledge is free; where words come out from the depth of truth;…. into that heaven of freedom, my Father, let my country awake”.</w:t>
      </w:r>
      <w:r w:rsidRPr="009C3F69">
        <w:rPr>
          <w:rStyle w:val="FootnoteReference"/>
          <w:rFonts w:ascii="Arial" w:eastAsia="Arial Unicode MS" w:hAnsi="Arial" w:cs="Arial"/>
          <w:sz w:val="24"/>
          <w:szCs w:val="24"/>
        </w:rPr>
        <w:footnoteReference w:id="103"/>
      </w:r>
      <w:r w:rsidR="00D21841">
        <w:rPr>
          <w:rFonts w:ascii="Arial" w:eastAsia="Arial Unicode MS" w:hAnsi="Arial" w:cs="Arial"/>
          <w:sz w:val="24"/>
          <w:szCs w:val="24"/>
        </w:rPr>
        <w:t xml:space="preserve"> </w:t>
      </w:r>
      <w:r w:rsidRPr="009C3F69">
        <w:rPr>
          <w:rFonts w:ascii="Arial" w:eastAsia="Arial Unicode MS" w:hAnsi="Arial" w:cs="Arial"/>
          <w:iCs/>
          <w:sz w:val="24"/>
          <w:szCs w:val="24"/>
        </w:rPr>
        <w:t>For John Adams,</w:t>
      </w:r>
      <w:r w:rsidRPr="009C3F69">
        <w:rPr>
          <w:rStyle w:val="FootnoteReference"/>
          <w:rFonts w:ascii="Arial" w:eastAsia="Arial Unicode MS" w:hAnsi="Arial" w:cs="Arial"/>
          <w:iCs/>
          <w:sz w:val="24"/>
          <w:szCs w:val="24"/>
        </w:rPr>
        <w:footnoteReference w:id="104"/>
      </w:r>
      <w:r w:rsidRPr="009C3F69">
        <w:rPr>
          <w:rFonts w:ascii="Arial" w:eastAsia="Arial Unicode MS" w:hAnsi="Arial" w:cs="Arial"/>
          <w:sz w:val="24"/>
          <w:szCs w:val="24"/>
        </w:rPr>
        <w:t xml:space="preserve">“the people have a right to that most dreaded and envied kind of knowledge… The preservation of the means of knowledge among the lowest ranks is of more importance than all the property of all the rich men in the country”. </w:t>
      </w:r>
      <w:r w:rsidRPr="009C3F69">
        <w:rPr>
          <w:rFonts w:ascii="Arial" w:hAnsi="Arial" w:cs="Arial"/>
          <w:sz w:val="24"/>
          <w:szCs w:val="24"/>
        </w:rPr>
        <w:t xml:space="preserve">Pointing our finger at government officials as the sole cause of our woes have become a symptom of Nigeria’s ill health. There is enough blame to go round. The greatest form of obedience to God is to be informed. The country’s present position is not the wish of God, but that of the public that either refused to exercise their franchise or chooses to merchandise it owing to dearth of information about precedent and ideology of aspirants. The level of development of any country is largely determined by information at </w:t>
      </w:r>
      <w:r w:rsidRPr="009C3F69">
        <w:rPr>
          <w:rFonts w:ascii="Arial" w:hAnsi="Arial" w:cs="Arial"/>
          <w:sz w:val="24"/>
          <w:szCs w:val="24"/>
        </w:rPr>
        <w:lastRenderedPageBreak/>
        <w:t>the disposal of the public. This is because when ignorance and poverty is defied, followership is on the same page with leadership.</w:t>
      </w:r>
      <w:r w:rsidRPr="009C3F69">
        <w:rPr>
          <w:rStyle w:val="FootnoteReference"/>
          <w:rFonts w:ascii="Arial" w:hAnsi="Arial" w:cs="Arial"/>
          <w:sz w:val="24"/>
          <w:szCs w:val="24"/>
        </w:rPr>
        <w:footnoteReference w:id="105"/>
      </w:r>
      <w:r w:rsidRPr="009C3F69">
        <w:rPr>
          <w:rFonts w:ascii="Arial" w:hAnsi="Arial" w:cs="Arial"/>
          <w:sz w:val="24"/>
          <w:szCs w:val="24"/>
        </w:rPr>
        <w:t xml:space="preserve"> The question is has the country’s followership been powered enough to cure ignorance and poverty? The answer is not in a system that alienates but inculcates in the public the spirit of freedom, knowledge, patriotism and values.</w:t>
      </w:r>
    </w:p>
    <w:p w:rsidR="00600A30" w:rsidRPr="009C3F69" w:rsidRDefault="00F17C5F" w:rsidP="004A722B">
      <w:pPr>
        <w:pStyle w:val="FootnoteText"/>
        <w:tabs>
          <w:tab w:val="left" w:pos="0"/>
        </w:tabs>
        <w:spacing w:line="276" w:lineRule="auto"/>
        <w:ind w:left="-360"/>
        <w:jc w:val="both"/>
        <w:rPr>
          <w:rFonts w:ascii="Arial" w:eastAsia="Arial Unicode MS" w:hAnsi="Arial" w:cs="Arial"/>
          <w:sz w:val="24"/>
          <w:szCs w:val="24"/>
        </w:rPr>
      </w:pPr>
      <w:r w:rsidRPr="009C3F69">
        <w:rPr>
          <w:rFonts w:ascii="Arial" w:eastAsia="Arial Unicode MS" w:hAnsi="Arial" w:cs="Arial"/>
          <w:sz w:val="24"/>
          <w:szCs w:val="24"/>
        </w:rPr>
        <w:t>Information is a gadget in the hands of electorate to regulate institutions, even after elections. The right to information is a vital part of the participatory system of government,</w:t>
      </w:r>
      <w:r w:rsidRPr="009C3F69">
        <w:rPr>
          <w:rStyle w:val="FootnoteReference"/>
          <w:rFonts w:ascii="Arial" w:eastAsia="Arial Unicode MS" w:hAnsi="Arial" w:cs="Arial"/>
          <w:sz w:val="24"/>
          <w:szCs w:val="24"/>
        </w:rPr>
        <w:footnoteReference w:id="106"/>
      </w:r>
      <w:r w:rsidRPr="009C3F69">
        <w:rPr>
          <w:rFonts w:ascii="Arial" w:eastAsia="Arial Unicode MS" w:hAnsi="Arial" w:cs="Arial"/>
          <w:sz w:val="24"/>
          <w:szCs w:val="24"/>
        </w:rPr>
        <w:t xml:space="preserve"> and right to development</w:t>
      </w:r>
      <w:r w:rsidRPr="009C3F69">
        <w:rPr>
          <w:rStyle w:val="FootnoteReference"/>
          <w:rFonts w:ascii="Arial" w:eastAsia="Arial Unicode MS" w:hAnsi="Arial" w:cs="Arial"/>
          <w:sz w:val="24"/>
          <w:szCs w:val="24"/>
        </w:rPr>
        <w:footnoteReference w:id="107"/>
      </w:r>
      <w:r w:rsidRPr="009C3F69">
        <w:rPr>
          <w:rFonts w:ascii="Arial" w:eastAsia="Arial Unicode MS" w:hAnsi="Arial" w:cs="Arial"/>
          <w:sz w:val="24"/>
          <w:szCs w:val="24"/>
        </w:rPr>
        <w:t xml:space="preserve"> which are essential for citizens’ oversight over representative’s responsibilities. This is important because in sustaining and nurturing opinion and expression, it becomes necessary to receive information. </w:t>
      </w:r>
      <w:r w:rsidRPr="009C3F69">
        <w:rPr>
          <w:rFonts w:ascii="Arial" w:hAnsi="Arial" w:cs="Arial"/>
          <w:sz w:val="24"/>
          <w:szCs w:val="24"/>
        </w:rPr>
        <w:t>The principle of political theory recognizes the public as the repository of sovereignty;</w:t>
      </w:r>
      <w:r w:rsidRPr="009C3F69">
        <w:rPr>
          <w:rStyle w:val="FootnoteReference"/>
          <w:rFonts w:ascii="Arial" w:hAnsi="Arial" w:cs="Arial"/>
          <w:sz w:val="24"/>
          <w:szCs w:val="24"/>
        </w:rPr>
        <w:footnoteReference w:id="108"/>
      </w:r>
      <w:r w:rsidRPr="009C3F69">
        <w:rPr>
          <w:rFonts w:ascii="Arial" w:hAnsi="Arial" w:cs="Arial"/>
          <w:sz w:val="24"/>
          <w:szCs w:val="24"/>
        </w:rPr>
        <w:t xml:space="preserve"> therefore, participatory democracy without access to information is hypocritical and set demands of franchise redundant. Section 22 of the 1999 Constitution powers the press to uphold the accountability of government to the public.</w:t>
      </w:r>
      <w:r w:rsidRPr="009C3F69">
        <w:rPr>
          <w:rStyle w:val="FootnoteReference"/>
          <w:rFonts w:ascii="Arial" w:hAnsi="Arial" w:cs="Arial"/>
          <w:sz w:val="24"/>
          <w:szCs w:val="24"/>
        </w:rPr>
        <w:footnoteReference w:id="109"/>
      </w:r>
      <w:r w:rsidRPr="009C3F69">
        <w:rPr>
          <w:rFonts w:ascii="Arial" w:eastAsia="Arial Unicode MS" w:hAnsi="Arial" w:cs="Arial"/>
          <w:sz w:val="24"/>
          <w:szCs w:val="24"/>
        </w:rPr>
        <w:t xml:space="preserve">Understanding dissemination of information about government to the public and public use of the information is the bye product of participatory democracy.  </w:t>
      </w:r>
    </w:p>
    <w:p w:rsidR="00600A30" w:rsidRPr="009C3F69" w:rsidRDefault="00600A30" w:rsidP="004A722B">
      <w:pPr>
        <w:pStyle w:val="ListParagraph1"/>
        <w:tabs>
          <w:tab w:val="left" w:pos="0"/>
        </w:tabs>
        <w:ind w:left="-360"/>
        <w:jc w:val="both"/>
        <w:rPr>
          <w:rFonts w:ascii="Arial" w:eastAsia="Arial Unicode MS" w:hAnsi="Arial" w:cs="Arial"/>
          <w:sz w:val="24"/>
          <w:szCs w:val="24"/>
        </w:rPr>
      </w:pPr>
    </w:p>
    <w:p w:rsidR="00600A30" w:rsidRPr="009C3F69" w:rsidRDefault="00F17C5F" w:rsidP="004A722B">
      <w:pPr>
        <w:pStyle w:val="ListParagraph1"/>
        <w:tabs>
          <w:tab w:val="left" w:pos="0"/>
        </w:tabs>
        <w:ind w:left="-360"/>
        <w:jc w:val="both"/>
        <w:rPr>
          <w:rFonts w:ascii="Arial" w:eastAsia="Arial Unicode MS" w:hAnsi="Arial" w:cs="Arial"/>
          <w:b/>
          <w:sz w:val="24"/>
          <w:szCs w:val="24"/>
        </w:rPr>
      </w:pPr>
      <w:r w:rsidRPr="009C3F69">
        <w:rPr>
          <w:rFonts w:ascii="Arial" w:eastAsia="Arial Unicode MS" w:hAnsi="Arial" w:cs="Arial"/>
          <w:b/>
          <w:sz w:val="24"/>
          <w:szCs w:val="24"/>
        </w:rPr>
        <w:t>RIGHT OF INFORMATION AND PROCEDURAL REQUIREMENT</w:t>
      </w:r>
    </w:p>
    <w:p w:rsidR="00600A30" w:rsidRPr="009C3F69" w:rsidRDefault="00F17C5F" w:rsidP="004A722B">
      <w:pPr>
        <w:pStyle w:val="ListParagraph1"/>
        <w:numPr>
          <w:ilvl w:val="0"/>
          <w:numId w:val="3"/>
        </w:numPr>
        <w:tabs>
          <w:tab w:val="left" w:pos="0"/>
        </w:tabs>
        <w:jc w:val="both"/>
        <w:rPr>
          <w:rFonts w:ascii="Arial" w:eastAsia="Arial Unicode MS" w:hAnsi="Arial" w:cs="Arial"/>
          <w:sz w:val="24"/>
          <w:szCs w:val="24"/>
          <w:u w:val="single"/>
        </w:rPr>
      </w:pPr>
      <w:r w:rsidRPr="009C3F69">
        <w:rPr>
          <w:rFonts w:ascii="Arial" w:eastAsia="Arial Unicode MS" w:hAnsi="Arial" w:cs="Arial"/>
          <w:b/>
          <w:sz w:val="24"/>
          <w:szCs w:val="24"/>
        </w:rPr>
        <w:t>Letter of Request for Information</w:t>
      </w:r>
    </w:p>
    <w:p w:rsidR="00600A30" w:rsidRPr="009C3F69" w:rsidRDefault="00F17C5F" w:rsidP="004A722B">
      <w:pPr>
        <w:pStyle w:val="BlockText"/>
        <w:tabs>
          <w:tab w:val="left" w:pos="0"/>
        </w:tabs>
        <w:spacing w:line="276" w:lineRule="auto"/>
        <w:ind w:left="-360" w:right="0" w:firstLine="0"/>
        <w:rPr>
          <w:rFonts w:ascii="Arial" w:eastAsia="Arial Unicode MS" w:hAnsi="Arial" w:cs="Arial"/>
          <w:sz w:val="24"/>
          <w:szCs w:val="24"/>
        </w:rPr>
      </w:pPr>
      <w:r w:rsidRPr="009C3F69">
        <w:rPr>
          <w:rFonts w:ascii="Arial" w:eastAsia="Arial Unicode MS" w:hAnsi="Arial" w:cs="Arial"/>
          <w:sz w:val="24"/>
          <w:szCs w:val="24"/>
        </w:rPr>
        <w:t>An applicant who wants information must make a formal letter to the agency, requesting for the information. Under the FOIA the letter of request must be written by the applicant itself because it is only the person that made an application that can sue, save a case of illiteracy and disability.</w:t>
      </w:r>
      <w:r w:rsidRPr="009C3F69">
        <w:rPr>
          <w:rStyle w:val="FootnoteReference"/>
          <w:rFonts w:ascii="Arial" w:eastAsia="Arial Unicode MS" w:hAnsi="Arial" w:cs="Arial"/>
          <w:sz w:val="24"/>
          <w:szCs w:val="24"/>
        </w:rPr>
        <w:footnoteReference w:id="110"/>
      </w:r>
      <w:r w:rsidRPr="009C3F69">
        <w:rPr>
          <w:rFonts w:ascii="Arial" w:eastAsia="Arial Unicode MS" w:hAnsi="Arial" w:cs="Arial"/>
          <w:sz w:val="24"/>
          <w:szCs w:val="24"/>
        </w:rPr>
        <w:t xml:space="preserve"> The aforesaid letter need not disclose the interest the applicant has in the information sought</w:t>
      </w:r>
      <w:r w:rsidRPr="009C3F69">
        <w:rPr>
          <w:rStyle w:val="FootnoteReference"/>
          <w:rFonts w:ascii="Arial" w:eastAsia="Arial Unicode MS" w:hAnsi="Arial" w:cs="Arial"/>
          <w:sz w:val="24"/>
          <w:szCs w:val="24"/>
        </w:rPr>
        <w:footnoteReference w:id="111"/>
      </w:r>
      <w:r w:rsidRPr="009C3F69">
        <w:rPr>
          <w:rFonts w:ascii="Arial" w:eastAsia="Arial Unicode MS" w:hAnsi="Arial" w:cs="Arial"/>
          <w:sz w:val="24"/>
          <w:szCs w:val="24"/>
        </w:rPr>
        <w:t xml:space="preserve"> and how the refusal will truncate his interest.</w:t>
      </w:r>
      <w:r w:rsidRPr="009C3F69">
        <w:rPr>
          <w:rStyle w:val="FootnoteReference"/>
          <w:rFonts w:ascii="Arial" w:eastAsia="Arial Unicode MS" w:hAnsi="Arial" w:cs="Arial"/>
          <w:sz w:val="24"/>
          <w:szCs w:val="24"/>
        </w:rPr>
        <w:footnoteReference w:id="112"/>
      </w:r>
      <w:r w:rsidR="005A6790" w:rsidRPr="009C3F69">
        <w:rPr>
          <w:rFonts w:ascii="Arial" w:eastAsia="Arial Unicode MS" w:hAnsi="Arial" w:cs="Arial"/>
          <w:sz w:val="24"/>
          <w:szCs w:val="24"/>
        </w:rPr>
        <w:t xml:space="preserve"> </w:t>
      </w:r>
      <w:r w:rsidR="009C3F69" w:rsidRPr="009C3F69">
        <w:rPr>
          <w:rFonts w:ascii="Arial" w:hAnsi="Arial" w:cs="Arial"/>
          <w:sz w:val="24"/>
          <w:szCs w:val="24"/>
        </w:rPr>
        <w:t>In Canada, an access request must be made in writing personally and directly to a government institution and the letter is accompanied by a fee of $5 USD.</w:t>
      </w:r>
      <w:r w:rsidR="009C3F69" w:rsidRPr="009C3F69">
        <w:rPr>
          <w:rStyle w:val="FootnoteReference"/>
          <w:rFonts w:ascii="Arial" w:hAnsi="Arial" w:cs="Arial"/>
          <w:sz w:val="24"/>
          <w:szCs w:val="24"/>
        </w:rPr>
        <w:footnoteReference w:id="113"/>
      </w:r>
      <w:r w:rsidR="009C3F69" w:rsidRPr="009C3F69">
        <w:rPr>
          <w:rFonts w:ascii="Arial" w:eastAsia="Arial Unicode MS" w:hAnsi="Arial" w:cs="Arial"/>
          <w:sz w:val="24"/>
          <w:szCs w:val="24"/>
        </w:rPr>
        <w:t xml:space="preserve"> The</w:t>
      </w:r>
      <w:r w:rsidR="005A6790" w:rsidRPr="009C3F69">
        <w:rPr>
          <w:rFonts w:ascii="Arial" w:eastAsia="Arial Unicode MS" w:hAnsi="Arial" w:cs="Arial"/>
          <w:sz w:val="24"/>
          <w:szCs w:val="24"/>
        </w:rPr>
        <w:t xml:space="preserve"> identity of the requester is confidential </w:t>
      </w:r>
      <w:r w:rsidR="005A6790" w:rsidRPr="009C3F69">
        <w:rPr>
          <w:rFonts w:ascii="Arial" w:eastAsia="Arial Unicode MS" w:hAnsi="Arial" w:cs="Arial"/>
          <w:sz w:val="24"/>
          <w:szCs w:val="24"/>
        </w:rPr>
        <w:lastRenderedPageBreak/>
        <w:t>and known only to the Access to Information Program (ATIP) Coordinator.</w:t>
      </w:r>
      <w:r w:rsidR="005A6790" w:rsidRPr="009C3F69">
        <w:rPr>
          <w:rStyle w:val="FootnoteReference"/>
          <w:rFonts w:ascii="Arial" w:eastAsia="Arial Unicode MS" w:hAnsi="Arial" w:cs="Arial"/>
          <w:sz w:val="24"/>
          <w:szCs w:val="24"/>
        </w:rPr>
        <w:footnoteReference w:id="114"/>
      </w:r>
      <w:r w:rsidR="005A6790" w:rsidRPr="009C3F69">
        <w:rPr>
          <w:rFonts w:ascii="Arial" w:eastAsia="Arial Unicode MS" w:hAnsi="Arial" w:cs="Arial"/>
          <w:sz w:val="24"/>
          <w:szCs w:val="24"/>
        </w:rPr>
        <w:t xml:space="preserve"> I</w:t>
      </w:r>
      <w:r w:rsidRPr="009C3F69">
        <w:rPr>
          <w:rFonts w:ascii="Arial" w:eastAsia="Arial Unicode MS" w:hAnsi="Arial" w:cs="Arial"/>
          <w:sz w:val="24"/>
          <w:szCs w:val="24"/>
        </w:rPr>
        <w:t>n Nigeria, an application made under FOIA by a lawyer on behalf of a client is incompetent</w:t>
      </w:r>
      <w:r w:rsidRPr="009C3F69">
        <w:rPr>
          <w:rStyle w:val="FootnoteReference"/>
          <w:rFonts w:ascii="Arial" w:eastAsia="Arial Unicode MS" w:hAnsi="Arial" w:cs="Arial"/>
          <w:sz w:val="24"/>
          <w:szCs w:val="24"/>
        </w:rPr>
        <w:footnoteReference w:id="115"/>
      </w:r>
      <w:r w:rsidR="005A6790" w:rsidRPr="009C3F69">
        <w:rPr>
          <w:rFonts w:ascii="Arial" w:eastAsia="Arial Unicode MS" w:hAnsi="Arial" w:cs="Arial"/>
          <w:sz w:val="24"/>
          <w:szCs w:val="24"/>
        </w:rPr>
        <w:t xml:space="preserve"> </w:t>
      </w:r>
      <w:r w:rsidRPr="009C3F69">
        <w:rPr>
          <w:rFonts w:ascii="Arial" w:eastAsia="Arial Unicode MS" w:hAnsi="Arial" w:cs="Arial"/>
          <w:sz w:val="24"/>
          <w:szCs w:val="24"/>
        </w:rPr>
        <w:t>and the constitution</w:t>
      </w:r>
      <w:r w:rsidRPr="009C3F69">
        <w:rPr>
          <w:rStyle w:val="FootnoteReference"/>
          <w:rFonts w:ascii="Arial" w:eastAsia="Arial Unicode MS" w:hAnsi="Arial" w:cs="Arial"/>
          <w:sz w:val="24"/>
          <w:szCs w:val="24"/>
        </w:rPr>
        <w:footnoteReference w:id="116"/>
      </w:r>
      <w:r w:rsidRPr="009C3F69">
        <w:rPr>
          <w:rFonts w:ascii="Arial" w:eastAsia="Arial Unicode MS" w:hAnsi="Arial" w:cs="Arial"/>
          <w:sz w:val="24"/>
          <w:szCs w:val="24"/>
        </w:rPr>
        <w:t xml:space="preserve"> does not allow for information brokering as practiced in South Africa.</w:t>
      </w:r>
      <w:r w:rsidRPr="009C3F69">
        <w:rPr>
          <w:rStyle w:val="FootnoteReference"/>
          <w:rFonts w:ascii="Arial" w:eastAsia="Arial Unicode MS" w:hAnsi="Arial" w:cs="Arial"/>
          <w:sz w:val="24"/>
          <w:szCs w:val="24"/>
        </w:rPr>
        <w:footnoteReference w:id="117"/>
      </w:r>
      <w:r w:rsidRPr="009C3F69">
        <w:rPr>
          <w:rFonts w:ascii="Arial" w:eastAsia="Arial Unicode MS" w:hAnsi="Arial" w:cs="Arial"/>
          <w:sz w:val="24"/>
          <w:szCs w:val="24"/>
        </w:rPr>
        <w:t xml:space="preserve"> The PAIA of 2000 </w:t>
      </w:r>
      <w:r w:rsidRPr="009C3F69">
        <w:rPr>
          <w:rFonts w:ascii="Arial" w:hAnsi="Arial" w:cs="Arial"/>
          <w:sz w:val="24"/>
          <w:szCs w:val="24"/>
        </w:rPr>
        <w:t>allows for information brokerage but the broker must be domicile within the country.</w:t>
      </w:r>
      <w:r w:rsidRPr="009C3F69">
        <w:rPr>
          <w:rStyle w:val="FootnoteReference"/>
          <w:rFonts w:ascii="Arial" w:hAnsi="Arial" w:cs="Arial"/>
          <w:sz w:val="24"/>
          <w:szCs w:val="24"/>
        </w:rPr>
        <w:footnoteReference w:id="118"/>
      </w:r>
      <w:r w:rsidRPr="009C3F69">
        <w:rPr>
          <w:rFonts w:ascii="Arial" w:eastAsia="Arial Unicode MS" w:hAnsi="Arial" w:cs="Arial"/>
          <w:sz w:val="24"/>
          <w:szCs w:val="24"/>
        </w:rPr>
        <w:t>The Fundamental Rights Enforcement Procedure Rules 2009 (FREP Rules) allows brokerage in the chain of access to information.</w:t>
      </w:r>
      <w:r w:rsidRPr="009C3F69">
        <w:rPr>
          <w:rStyle w:val="FootnoteReference"/>
          <w:rFonts w:ascii="Arial" w:eastAsia="Arial Unicode MS" w:hAnsi="Arial" w:cs="Arial"/>
          <w:sz w:val="24"/>
          <w:szCs w:val="24"/>
        </w:rPr>
        <w:footnoteReference w:id="119"/>
      </w:r>
      <w:r w:rsidRPr="009C3F69">
        <w:rPr>
          <w:rFonts w:ascii="Arial" w:eastAsia="Arial Unicode MS" w:hAnsi="Arial" w:cs="Arial"/>
          <w:sz w:val="24"/>
          <w:szCs w:val="24"/>
        </w:rPr>
        <w:t>The inability of citizens to negotiate the myriad structures of the state bureaucracy in order to access their rightful entitlements necessitates the legitimate intervention of a broker.</w:t>
      </w:r>
      <w:r w:rsidRPr="009C3F69">
        <w:rPr>
          <w:rStyle w:val="FootnoteReference"/>
          <w:rFonts w:ascii="Arial" w:eastAsia="Arial Unicode MS" w:hAnsi="Arial" w:cs="Arial"/>
          <w:sz w:val="24"/>
          <w:szCs w:val="24"/>
        </w:rPr>
        <w:footnoteReference w:id="120"/>
      </w:r>
      <w:r w:rsidRPr="009C3F69">
        <w:rPr>
          <w:rFonts w:ascii="Arial" w:eastAsia="Arial Unicode MS" w:hAnsi="Arial" w:cs="Arial"/>
          <w:sz w:val="24"/>
          <w:szCs w:val="24"/>
        </w:rPr>
        <w:t>The rational inference of an inefficient rigid bureaucracy in tandem with court technicality can suffocate flexibility in rights exigency. The broker has access to state bureaucracy because it deals in access to those who control the information rather than in the bowel of information seekers. It is a necessity given the towering level of illiteracy in the country. It is more accurate to describe the lawyer’s letter requesting for information on behalf of its client as brokerage, as distinct from clientelism. After a formal request is made to the agency and denied after seven days maturity of the application, an application for judicial review is indispensable within thirty days of the application.  It is the letter requesting for information that serves the purpose of intention to sue. The requirement of a pre-action notice is merely ornamental in the right to information suit. Agreed that pre-action notice has long been accepted as part of our civil procedure wherever statutes prescribe that such notice should be given,</w:t>
      </w:r>
      <w:r w:rsidRPr="009C3F69">
        <w:rPr>
          <w:rStyle w:val="FootnoteReference"/>
          <w:rFonts w:ascii="Arial" w:eastAsia="Arial Unicode MS" w:hAnsi="Arial" w:cs="Arial"/>
          <w:sz w:val="24"/>
          <w:szCs w:val="24"/>
        </w:rPr>
        <w:footnoteReference w:id="121"/>
      </w:r>
      <w:r w:rsidRPr="009C3F69">
        <w:rPr>
          <w:rFonts w:ascii="Arial" w:eastAsia="Arial Unicode MS" w:hAnsi="Arial" w:cs="Arial"/>
          <w:sz w:val="24"/>
          <w:szCs w:val="24"/>
        </w:rPr>
        <w:t>such requirement is not applicable to the enforcement of fundamental right</w:t>
      </w:r>
      <w:r w:rsidRPr="009C3F69">
        <w:rPr>
          <w:rStyle w:val="FootnoteReference"/>
          <w:rFonts w:ascii="Arial" w:eastAsia="Arial Unicode MS" w:hAnsi="Arial" w:cs="Arial"/>
          <w:sz w:val="24"/>
          <w:szCs w:val="24"/>
        </w:rPr>
        <w:footnoteReference w:id="122"/>
      </w:r>
      <w:r w:rsidRPr="009C3F69">
        <w:rPr>
          <w:rFonts w:ascii="Arial" w:eastAsia="Arial Unicode MS" w:hAnsi="Arial" w:cs="Arial"/>
          <w:sz w:val="24"/>
          <w:szCs w:val="24"/>
        </w:rPr>
        <w:t xml:space="preserve"> to information because the request for the information itself serves the purpose of the notice. This is because at the end of one month of the issuance of pre-action notice, the alleged infringement necessitating the information would have degenerated into irredeemable mischief or damages. The enforcement of the right to information has urgency woven around it, so much so that a pre-action notice would definitely negate its purpose.</w:t>
      </w:r>
    </w:p>
    <w:p w:rsidR="00600A30" w:rsidRPr="009C3F69" w:rsidRDefault="00600A30" w:rsidP="004A722B">
      <w:pPr>
        <w:pStyle w:val="BlockText"/>
        <w:tabs>
          <w:tab w:val="left" w:pos="0"/>
        </w:tabs>
        <w:spacing w:line="276" w:lineRule="auto"/>
        <w:ind w:left="-360" w:right="0" w:firstLine="0"/>
        <w:rPr>
          <w:rFonts w:ascii="Arial" w:eastAsia="Arial Unicode MS" w:hAnsi="Arial" w:cs="Arial"/>
          <w:sz w:val="24"/>
          <w:szCs w:val="24"/>
        </w:rPr>
      </w:pPr>
    </w:p>
    <w:p w:rsidR="00600A30" w:rsidRPr="009C3F69" w:rsidRDefault="00F17C5F" w:rsidP="004A722B">
      <w:pPr>
        <w:pStyle w:val="FootnoteText"/>
        <w:tabs>
          <w:tab w:val="left" w:pos="0"/>
        </w:tabs>
        <w:spacing w:line="276" w:lineRule="auto"/>
        <w:ind w:left="-360"/>
        <w:jc w:val="both"/>
        <w:rPr>
          <w:rFonts w:ascii="Arial" w:eastAsia="Arial Unicode MS" w:hAnsi="Arial" w:cs="Arial"/>
          <w:sz w:val="24"/>
          <w:szCs w:val="24"/>
        </w:rPr>
      </w:pPr>
      <w:r w:rsidRPr="009C3F69">
        <w:rPr>
          <w:rFonts w:ascii="Arial" w:eastAsia="Arial Unicode MS" w:hAnsi="Arial" w:cs="Arial"/>
          <w:sz w:val="24"/>
          <w:szCs w:val="24"/>
        </w:rPr>
        <w:t xml:space="preserve">It is the Constitution of 1999; FOIA and FREP rules that prescribe the mode of enforcing right to information in Nigeria. They are independent template for the exercise of the court’s jurisdiction in enforcing the right of access to information. The dependence on multi legislation to enforce the right to information cannot divide the shades of grey of </w:t>
      </w:r>
      <w:r w:rsidRPr="009C3F69">
        <w:rPr>
          <w:rFonts w:ascii="Arial" w:eastAsia="Arial Unicode MS" w:hAnsi="Arial" w:cs="Arial"/>
          <w:sz w:val="24"/>
          <w:szCs w:val="24"/>
        </w:rPr>
        <w:lastRenderedPageBreak/>
        <w:t xml:space="preserve">enforcement, but rather gather the darkest black with the brightest white. What the court looks at in deciding whether it has jurisdiction in FOIA application is the letter requesting for information, </w:t>
      </w:r>
      <w:r w:rsidRPr="009C3F69">
        <w:rPr>
          <w:rFonts w:ascii="Arial" w:eastAsia="Arial Unicode MS" w:hAnsi="Arial" w:cs="Arial"/>
          <w:color w:val="000000"/>
          <w:sz w:val="24"/>
          <w:szCs w:val="24"/>
        </w:rPr>
        <w:t>the grounds for seeking the relief and the facts upon which the application is made.</w:t>
      </w:r>
    </w:p>
    <w:p w:rsidR="00600A30" w:rsidRPr="009C3F69" w:rsidRDefault="00600A30" w:rsidP="004A722B">
      <w:pPr>
        <w:pStyle w:val="FootnoteText"/>
        <w:tabs>
          <w:tab w:val="left" w:pos="0"/>
        </w:tabs>
        <w:spacing w:line="276" w:lineRule="auto"/>
        <w:ind w:left="-360"/>
        <w:jc w:val="both"/>
        <w:rPr>
          <w:rFonts w:ascii="Arial" w:eastAsia="Arial Unicode MS" w:hAnsi="Arial" w:cs="Arial"/>
          <w:sz w:val="24"/>
          <w:szCs w:val="24"/>
        </w:rPr>
      </w:pPr>
    </w:p>
    <w:p w:rsidR="00600A30" w:rsidRPr="009C3F69" w:rsidRDefault="00F17C5F" w:rsidP="004A722B">
      <w:pPr>
        <w:pStyle w:val="FootnoteText"/>
        <w:tabs>
          <w:tab w:val="left" w:pos="0"/>
        </w:tabs>
        <w:spacing w:line="276" w:lineRule="auto"/>
        <w:ind w:left="-360"/>
        <w:jc w:val="both"/>
        <w:rPr>
          <w:rFonts w:ascii="Arial" w:eastAsia="Arial Unicode MS" w:hAnsi="Arial" w:cs="Arial"/>
          <w:sz w:val="24"/>
          <w:szCs w:val="24"/>
        </w:rPr>
      </w:pPr>
      <w:r w:rsidRPr="009C3F69">
        <w:rPr>
          <w:rFonts w:ascii="Arial" w:eastAsia="Arial Unicode MS" w:hAnsi="Arial" w:cs="Arial"/>
          <w:sz w:val="24"/>
          <w:szCs w:val="24"/>
        </w:rPr>
        <w:t>The service of a pre-action notice is at best a procedural requirement and not an issue of substantive law on which the right of the applicants depend. At worst, the non- compliance puts the jurisdiction of the court on hold pending compliance.</w:t>
      </w:r>
      <w:r w:rsidRPr="009C3F69">
        <w:rPr>
          <w:rStyle w:val="FootnoteReference"/>
          <w:rFonts w:ascii="Arial" w:eastAsia="Arial Unicode MS" w:hAnsi="Arial" w:cs="Arial"/>
          <w:sz w:val="24"/>
          <w:szCs w:val="24"/>
        </w:rPr>
        <w:footnoteReference w:id="123"/>
      </w:r>
      <w:r w:rsidRPr="009C3F69">
        <w:rPr>
          <w:rFonts w:ascii="Arial" w:eastAsia="Arial Unicode MS" w:hAnsi="Arial" w:cs="Arial"/>
          <w:sz w:val="24"/>
          <w:szCs w:val="24"/>
        </w:rPr>
        <w:t xml:space="preserve"> In Ngelegla v Nongowa Chiefdom,</w:t>
      </w:r>
      <w:r w:rsidRPr="009C3F69">
        <w:rPr>
          <w:rStyle w:val="FootnoteReference"/>
          <w:rFonts w:ascii="Arial" w:eastAsia="Arial Unicode MS" w:hAnsi="Arial" w:cs="Arial"/>
          <w:sz w:val="24"/>
          <w:szCs w:val="24"/>
        </w:rPr>
        <w:footnoteReference w:id="124"/>
      </w:r>
      <w:r w:rsidRPr="009C3F69">
        <w:rPr>
          <w:rFonts w:ascii="Arial" w:eastAsia="Arial Unicode MS" w:hAnsi="Arial" w:cs="Arial"/>
          <w:sz w:val="24"/>
          <w:szCs w:val="24"/>
        </w:rPr>
        <w:t xml:space="preserve"> the West African Court of Appeal considered the provision of section 19 (2) of the Tribal Authourity Ordinance, Laws of Gold Cost which is in </w:t>
      </w:r>
      <w:r w:rsidRPr="009C3F69">
        <w:rPr>
          <w:rFonts w:ascii="Arial" w:eastAsia="Arial Unicode MS" w:hAnsi="Arial" w:cs="Arial"/>
          <w:i/>
          <w:sz w:val="24"/>
          <w:szCs w:val="24"/>
        </w:rPr>
        <w:t>pari material</w:t>
      </w:r>
      <w:r w:rsidRPr="009C3F69">
        <w:rPr>
          <w:rFonts w:ascii="Arial" w:eastAsia="Arial Unicode MS" w:hAnsi="Arial" w:cs="Arial"/>
          <w:sz w:val="24"/>
          <w:szCs w:val="24"/>
        </w:rPr>
        <w:t xml:space="preserve"> with section 12 (2) of the Nigeria National Petroleum Act.  The West African Court of Appeal stated that the requirement of service of pre-action notice is “to give the defendant breathing time so as to enable him determine whether he should make reparation to plaintiff”. Where the determination of civil rights and obligations of a person is in issue any law which imposes conditions that is inconsistent with the free and unrestrained exercise of that right is void.</w:t>
      </w:r>
      <w:r w:rsidRPr="009C3F69">
        <w:rPr>
          <w:rStyle w:val="FootnoteReference"/>
          <w:rFonts w:ascii="Arial" w:eastAsia="Arial Unicode MS" w:hAnsi="Arial" w:cs="Arial"/>
          <w:sz w:val="24"/>
          <w:szCs w:val="24"/>
        </w:rPr>
        <w:footnoteReference w:id="125"/>
      </w:r>
      <w:r w:rsidRPr="009C3F69">
        <w:rPr>
          <w:rFonts w:ascii="Arial" w:eastAsia="Arial Unicode MS" w:hAnsi="Arial" w:cs="Arial"/>
          <w:sz w:val="24"/>
          <w:szCs w:val="24"/>
        </w:rPr>
        <w:t xml:space="preserve"> Various obstacles erected by common law requirements against individuals bringing fundamental rights actions</w:t>
      </w:r>
      <w:r w:rsidRPr="009C3F69">
        <w:rPr>
          <w:rStyle w:val="FootnoteReference"/>
          <w:rFonts w:ascii="Arial" w:eastAsia="Arial Unicode MS" w:hAnsi="Arial" w:cs="Arial"/>
          <w:sz w:val="24"/>
          <w:szCs w:val="24"/>
        </w:rPr>
        <w:footnoteReference w:id="126"/>
      </w:r>
      <w:r w:rsidRPr="009C3F69">
        <w:rPr>
          <w:rFonts w:ascii="Arial" w:eastAsia="Arial Unicode MS" w:hAnsi="Arial" w:cs="Arial"/>
          <w:sz w:val="24"/>
          <w:szCs w:val="24"/>
        </w:rPr>
        <w:t xml:space="preserve"> before the courts against government and individuals is defeated by Fundamental Rights Enforcement Procedure Rules 2009. In the enforcement of fundamental rights, old crusted procedure by which a potential litigant has to prepare and head a letter pre-action notice before instituting an action is ancient and misplaced and failure to satisfy such conditions cannot render a fundamental right action incompetent. </w:t>
      </w:r>
    </w:p>
    <w:p w:rsidR="00600A30" w:rsidRPr="009C3F69" w:rsidRDefault="00600A30" w:rsidP="004A722B">
      <w:pPr>
        <w:pStyle w:val="FootnoteText"/>
        <w:tabs>
          <w:tab w:val="left" w:pos="0"/>
        </w:tabs>
        <w:spacing w:line="276" w:lineRule="auto"/>
        <w:jc w:val="both"/>
        <w:rPr>
          <w:rFonts w:ascii="Arial" w:eastAsia="Arial Unicode MS" w:hAnsi="Arial" w:cs="Arial"/>
          <w:sz w:val="24"/>
          <w:szCs w:val="24"/>
        </w:rPr>
      </w:pPr>
    </w:p>
    <w:p w:rsidR="00600A30" w:rsidRPr="009C3F69" w:rsidRDefault="00F17C5F" w:rsidP="004A722B">
      <w:pPr>
        <w:pStyle w:val="FootnoteText"/>
        <w:tabs>
          <w:tab w:val="left" w:pos="0"/>
        </w:tabs>
        <w:spacing w:line="276" w:lineRule="auto"/>
        <w:ind w:left="-360"/>
        <w:jc w:val="both"/>
        <w:rPr>
          <w:rFonts w:ascii="Arial" w:eastAsia="Arial Unicode MS" w:hAnsi="Arial" w:cs="Arial"/>
          <w:sz w:val="24"/>
          <w:szCs w:val="24"/>
        </w:rPr>
      </w:pPr>
      <w:r w:rsidRPr="009C3F69">
        <w:rPr>
          <w:rFonts w:ascii="Arial" w:eastAsia="Arial Unicode MS" w:hAnsi="Arial" w:cs="Arial"/>
          <w:sz w:val="24"/>
          <w:szCs w:val="24"/>
        </w:rPr>
        <w:t>(B)</w:t>
      </w:r>
      <w:r w:rsidRPr="009C3F69">
        <w:rPr>
          <w:rFonts w:ascii="Arial" w:eastAsia="Arial Unicode MS" w:hAnsi="Arial" w:cs="Arial"/>
          <w:sz w:val="24"/>
          <w:szCs w:val="24"/>
        </w:rPr>
        <w:tab/>
      </w:r>
      <w:r w:rsidRPr="009C3F69">
        <w:rPr>
          <w:rFonts w:ascii="Arial" w:eastAsia="Arial Unicode MS" w:hAnsi="Arial" w:cs="Arial"/>
          <w:sz w:val="24"/>
          <w:szCs w:val="24"/>
        </w:rPr>
        <w:tab/>
      </w:r>
      <w:r w:rsidRPr="009C3F69">
        <w:rPr>
          <w:rFonts w:ascii="Arial" w:eastAsia="Arial Unicode MS" w:hAnsi="Arial" w:cs="Arial"/>
          <w:b/>
          <w:sz w:val="24"/>
          <w:szCs w:val="24"/>
        </w:rPr>
        <w:t>Application for Judicial Review</w:t>
      </w:r>
    </w:p>
    <w:p w:rsidR="00600A30" w:rsidRPr="009C3F69" w:rsidRDefault="00F17C5F" w:rsidP="004A722B">
      <w:pPr>
        <w:tabs>
          <w:tab w:val="left" w:pos="0"/>
        </w:tabs>
        <w:ind w:left="-360"/>
        <w:jc w:val="both"/>
        <w:rPr>
          <w:rFonts w:ascii="Arial" w:eastAsia="Arial Unicode MS" w:hAnsi="Arial" w:cs="Arial"/>
          <w:sz w:val="24"/>
          <w:szCs w:val="24"/>
        </w:rPr>
      </w:pPr>
      <w:r w:rsidRPr="009C3F69">
        <w:rPr>
          <w:rFonts w:ascii="Arial" w:eastAsia="Arial Unicode MS" w:hAnsi="Arial" w:cs="Arial"/>
          <w:sz w:val="24"/>
          <w:szCs w:val="24"/>
        </w:rPr>
        <w:t>An application for judicial review of the decision of the agency is either an appeal,</w:t>
      </w:r>
      <w:r w:rsidRPr="009C3F69">
        <w:rPr>
          <w:rStyle w:val="FootnoteReference"/>
          <w:rFonts w:ascii="Arial" w:eastAsia="Arial Unicode MS" w:hAnsi="Arial" w:cs="Arial"/>
          <w:sz w:val="24"/>
          <w:szCs w:val="24"/>
        </w:rPr>
        <w:footnoteReference w:id="127"/>
      </w:r>
      <w:r w:rsidRPr="009C3F69">
        <w:rPr>
          <w:rFonts w:ascii="Arial" w:eastAsia="Arial Unicode MS" w:hAnsi="Arial" w:cs="Arial"/>
          <w:sz w:val="24"/>
          <w:szCs w:val="24"/>
        </w:rPr>
        <w:t>or fresh application.</w:t>
      </w:r>
      <w:r w:rsidRPr="009C3F69">
        <w:rPr>
          <w:rStyle w:val="FootnoteReference"/>
          <w:rFonts w:ascii="Arial" w:eastAsia="Arial Unicode MS" w:hAnsi="Arial" w:cs="Arial"/>
          <w:sz w:val="24"/>
          <w:szCs w:val="24"/>
        </w:rPr>
        <w:footnoteReference w:id="128"/>
      </w:r>
      <w:r w:rsidRPr="009C3F69">
        <w:rPr>
          <w:rFonts w:ascii="Arial" w:eastAsia="Arial Unicode MS" w:hAnsi="Arial" w:cs="Arial"/>
          <w:sz w:val="24"/>
          <w:szCs w:val="24"/>
        </w:rPr>
        <w:t>Infringement of fundamental rights can be canvassed at any stage of court proceeding; whether in the trial or on appeal.</w:t>
      </w:r>
      <w:r w:rsidRPr="009C3F69">
        <w:rPr>
          <w:rStyle w:val="FootnoteReference"/>
          <w:rFonts w:ascii="Arial" w:eastAsia="Arial Unicode MS" w:hAnsi="Arial" w:cs="Arial"/>
          <w:sz w:val="24"/>
          <w:szCs w:val="24"/>
        </w:rPr>
        <w:footnoteReference w:id="129"/>
      </w:r>
      <w:r w:rsidRPr="009C3F69">
        <w:rPr>
          <w:rFonts w:ascii="Arial" w:eastAsia="Arial Unicode MS" w:hAnsi="Arial" w:cs="Arial"/>
          <w:sz w:val="24"/>
          <w:szCs w:val="24"/>
        </w:rPr>
        <w:t>The purpose of judicial review is to substitute a decision of the court for the decision of the administrative body.</w:t>
      </w:r>
      <w:r w:rsidRPr="009C3F69">
        <w:rPr>
          <w:rStyle w:val="FootnoteReference"/>
          <w:rFonts w:ascii="Arial" w:eastAsia="Arial Unicode MS" w:hAnsi="Arial" w:cs="Arial"/>
          <w:sz w:val="24"/>
          <w:szCs w:val="24"/>
        </w:rPr>
        <w:footnoteReference w:id="130"/>
      </w:r>
      <w:r w:rsidRPr="009C3F69">
        <w:rPr>
          <w:rFonts w:ascii="Arial" w:eastAsia="Arial Unicode MS" w:hAnsi="Arial" w:cs="Arial"/>
          <w:sz w:val="24"/>
          <w:szCs w:val="24"/>
        </w:rPr>
        <w:t xml:space="preserve"> The High Court serves as an appeal and also supervises agency’s exercise of discretion.</w:t>
      </w:r>
      <w:r w:rsidRPr="009C3F69">
        <w:rPr>
          <w:rStyle w:val="FootnoteReference"/>
          <w:rFonts w:ascii="Arial" w:eastAsia="Arial Unicode MS" w:hAnsi="Arial" w:cs="Arial"/>
          <w:sz w:val="24"/>
          <w:szCs w:val="24"/>
        </w:rPr>
        <w:footnoteReference w:id="131"/>
      </w:r>
      <w:r w:rsidRPr="009C3F69">
        <w:rPr>
          <w:rFonts w:ascii="Arial" w:eastAsia="Arial Unicode MS" w:hAnsi="Arial" w:cs="Arial"/>
          <w:sz w:val="24"/>
          <w:szCs w:val="24"/>
        </w:rPr>
        <w:t xml:space="preserve">. </w:t>
      </w:r>
    </w:p>
    <w:p w:rsidR="00600A30" w:rsidRPr="009C3F69" w:rsidRDefault="00F17C5F" w:rsidP="004A722B">
      <w:pPr>
        <w:pStyle w:val="FootnoteText"/>
        <w:tabs>
          <w:tab w:val="left" w:pos="0"/>
        </w:tabs>
        <w:spacing w:line="276" w:lineRule="auto"/>
        <w:ind w:left="-360"/>
        <w:jc w:val="both"/>
        <w:rPr>
          <w:rFonts w:ascii="Arial" w:eastAsia="Arial Unicode MS" w:hAnsi="Arial" w:cs="Arial"/>
          <w:sz w:val="24"/>
          <w:szCs w:val="24"/>
        </w:rPr>
      </w:pPr>
      <w:r w:rsidRPr="009C3F69">
        <w:rPr>
          <w:rFonts w:ascii="Arial" w:eastAsia="Arial Unicode MS" w:hAnsi="Arial" w:cs="Arial"/>
          <w:sz w:val="24"/>
          <w:szCs w:val="24"/>
        </w:rPr>
        <w:lastRenderedPageBreak/>
        <w:t>When an application for judicial review is made, the court is called upon to examine whether the FOIA has been correctly interpreted or whether the discretion conferred by statute has been lawfully exercised and also whether the government agencies have acted fairly. Court can interfere with the exercise of executive functions if the executive has violated any of the provisions of the Constitution of Federal Republic of Nigeria.</w:t>
      </w:r>
      <w:r w:rsidRPr="009C3F69">
        <w:rPr>
          <w:rStyle w:val="FootnoteReference"/>
          <w:rFonts w:ascii="Arial" w:eastAsia="Arial Unicode MS" w:hAnsi="Arial" w:cs="Arial"/>
          <w:sz w:val="24"/>
          <w:szCs w:val="24"/>
        </w:rPr>
        <w:footnoteReference w:id="132"/>
      </w:r>
      <w:r w:rsidRPr="009C3F69">
        <w:rPr>
          <w:rFonts w:ascii="Arial" w:eastAsia="Arial Unicode MS" w:hAnsi="Arial" w:cs="Arial"/>
          <w:sz w:val="24"/>
          <w:szCs w:val="24"/>
        </w:rPr>
        <w:t>Judicial review of the right to information is concerned solely with the manner in which the decision maker has applied the relevant rules,</w:t>
      </w:r>
      <w:r w:rsidRPr="009C3F69">
        <w:rPr>
          <w:rStyle w:val="FootnoteReference"/>
          <w:rFonts w:ascii="Arial" w:eastAsia="Arial Unicode MS" w:hAnsi="Arial" w:cs="Arial"/>
          <w:sz w:val="24"/>
          <w:szCs w:val="24"/>
        </w:rPr>
        <w:footnoteReference w:id="133"/>
      </w:r>
      <w:r w:rsidRPr="009C3F69">
        <w:rPr>
          <w:rFonts w:ascii="Arial" w:eastAsia="Arial Unicode MS" w:hAnsi="Arial" w:cs="Arial"/>
          <w:sz w:val="24"/>
          <w:szCs w:val="24"/>
        </w:rPr>
        <w:t>and it is procedural in nature.</w:t>
      </w:r>
      <w:r w:rsidRPr="009C3F69">
        <w:rPr>
          <w:rStyle w:val="FootnoteReference"/>
          <w:rFonts w:ascii="Arial" w:eastAsia="Arial Unicode MS" w:hAnsi="Arial" w:cs="Arial"/>
          <w:sz w:val="24"/>
          <w:szCs w:val="24"/>
        </w:rPr>
        <w:footnoteReference w:id="134"/>
      </w:r>
      <w:r w:rsidRPr="009C3F69">
        <w:rPr>
          <w:rFonts w:ascii="Arial" w:eastAsia="Arial Unicode MS" w:hAnsi="Arial" w:cs="Arial"/>
          <w:sz w:val="24"/>
          <w:szCs w:val="24"/>
        </w:rPr>
        <w:t>The mode in which the Court is approached for the enforcement of right to information does not matter once it is clear that the originating process seeks to redress the infringement of the constitutional right.</w:t>
      </w:r>
      <w:r w:rsidRPr="009C3F69">
        <w:rPr>
          <w:rStyle w:val="FootnoteReference"/>
          <w:rFonts w:ascii="Arial" w:eastAsia="Arial Unicode MS" w:hAnsi="Arial" w:cs="Arial"/>
          <w:sz w:val="24"/>
          <w:szCs w:val="24"/>
        </w:rPr>
        <w:footnoteReference w:id="135"/>
      </w:r>
      <w:r w:rsidRPr="009C3F69">
        <w:rPr>
          <w:rFonts w:ascii="Arial" w:eastAsia="Arial Unicode MS" w:hAnsi="Arial" w:cs="Arial"/>
          <w:sz w:val="24"/>
          <w:szCs w:val="24"/>
        </w:rPr>
        <w:t xml:space="preserve"> The FOIA and FREP provide rational review structure for those aggrieved by agency’s decision. The outcome of the review will result in new decision being substituted for the previous or mute decision. Applicant can bring judicial review by way of writ of summons, originating motion or summons. Once a particular mode has been adopted, it has to be strictly complied with in line with appropriate rules of court.</w:t>
      </w:r>
      <w:r w:rsidRPr="009C3F69">
        <w:rPr>
          <w:rStyle w:val="FootnoteReference"/>
          <w:rFonts w:ascii="Arial" w:eastAsia="Arial Unicode MS" w:hAnsi="Arial" w:cs="Arial"/>
          <w:sz w:val="24"/>
          <w:szCs w:val="24"/>
        </w:rPr>
        <w:footnoteReference w:id="136"/>
      </w:r>
      <w:r w:rsidRPr="009C3F69">
        <w:rPr>
          <w:rFonts w:ascii="Arial" w:eastAsia="Arial Unicode MS" w:hAnsi="Arial" w:cs="Arial"/>
          <w:sz w:val="24"/>
          <w:szCs w:val="24"/>
        </w:rPr>
        <w:t>The power of the court is derived from constitutional right to keep the executive within the bounds of their powers and to provide remedies for abuse of power which can be inform of fine, imprisonment or both.</w:t>
      </w:r>
    </w:p>
    <w:p w:rsidR="00600A30" w:rsidRPr="009C3F69" w:rsidRDefault="00600A30" w:rsidP="004A722B">
      <w:pPr>
        <w:pStyle w:val="FootnoteText"/>
        <w:tabs>
          <w:tab w:val="left" w:pos="0"/>
        </w:tabs>
        <w:spacing w:line="276" w:lineRule="auto"/>
        <w:ind w:left="-360"/>
        <w:jc w:val="both"/>
        <w:rPr>
          <w:rFonts w:ascii="Arial" w:eastAsia="Arial Unicode MS" w:hAnsi="Arial" w:cs="Arial"/>
          <w:sz w:val="24"/>
          <w:szCs w:val="24"/>
        </w:rPr>
      </w:pPr>
    </w:p>
    <w:p w:rsidR="00600A30" w:rsidRPr="009C3F69" w:rsidRDefault="00F17C5F" w:rsidP="004A722B">
      <w:pPr>
        <w:tabs>
          <w:tab w:val="left" w:pos="0"/>
        </w:tabs>
        <w:spacing w:after="0"/>
        <w:ind w:left="-360"/>
        <w:jc w:val="both"/>
        <w:rPr>
          <w:rFonts w:ascii="Arial" w:eastAsia="Arial Unicode MS" w:hAnsi="Arial" w:cs="Arial"/>
          <w:sz w:val="24"/>
          <w:szCs w:val="24"/>
        </w:rPr>
      </w:pPr>
      <w:r w:rsidRPr="009C3F69">
        <w:rPr>
          <w:rFonts w:ascii="Arial" w:eastAsia="Arial Unicode MS" w:hAnsi="Arial" w:cs="Arial"/>
          <w:sz w:val="24"/>
          <w:szCs w:val="24"/>
        </w:rPr>
        <w:t>Fundamental Rights Enforcement Procedure Rules</w:t>
      </w:r>
      <w:r w:rsidRPr="009C3F69">
        <w:rPr>
          <w:rFonts w:ascii="Arial" w:hAnsi="Arial" w:cs="Arial"/>
          <w:sz w:val="24"/>
          <w:szCs w:val="24"/>
        </w:rPr>
        <w:t xml:space="preserve"> are made pursuant to section 46 (3) of the 1999 Constitution and higher than other laws including the FOIA in the hierarchy of superiority of laws in Nigeria. FREP is deemed to be at par with the provisions of the 1999 Constitution of Nigeria. The Supreme Court in the case of FRN v Ifegwu</w:t>
      </w:r>
      <w:r w:rsidRPr="009C3F69">
        <w:rPr>
          <w:rStyle w:val="FootnoteReference"/>
          <w:rFonts w:ascii="Arial" w:hAnsi="Arial" w:cs="Arial"/>
          <w:sz w:val="24"/>
          <w:szCs w:val="24"/>
        </w:rPr>
        <w:footnoteReference w:id="137"/>
      </w:r>
      <w:r w:rsidRPr="009C3F69">
        <w:rPr>
          <w:rFonts w:ascii="Arial" w:hAnsi="Arial" w:cs="Arial"/>
          <w:sz w:val="24"/>
          <w:szCs w:val="24"/>
        </w:rPr>
        <w:t xml:space="preserve"> held that </w:t>
      </w:r>
      <w:r w:rsidRPr="009C3F69">
        <w:rPr>
          <w:rFonts w:ascii="Arial" w:eastAsia="Arial Unicode MS" w:hAnsi="Arial" w:cs="Arial"/>
          <w:sz w:val="24"/>
          <w:szCs w:val="24"/>
        </w:rPr>
        <w:t>FREP</w:t>
      </w:r>
      <w:r w:rsidRPr="009C3F69">
        <w:rPr>
          <w:rFonts w:ascii="Arial" w:hAnsi="Arial" w:cs="Arial"/>
          <w:sz w:val="24"/>
          <w:szCs w:val="24"/>
        </w:rPr>
        <w:t xml:space="preserve"> is superior to the Public Protection Act. </w:t>
      </w:r>
      <w:r w:rsidRPr="009C3F69">
        <w:rPr>
          <w:rFonts w:ascii="Arial" w:eastAsia="Arial Unicode MS" w:hAnsi="Arial" w:cs="Arial"/>
          <w:sz w:val="24"/>
          <w:szCs w:val="24"/>
        </w:rPr>
        <w:t>One of the overriding objectives of FREP is to expansively and purposefully interpret the constitution especially chapter 4 for the sake of advancing and realizing the rights and freedoms contained in it and affording protection intended by them.</w:t>
      </w:r>
      <w:r w:rsidRPr="009C3F69">
        <w:rPr>
          <w:rStyle w:val="FootnoteReference"/>
          <w:rFonts w:ascii="Arial" w:eastAsia="Arial Unicode MS" w:hAnsi="Arial" w:cs="Arial"/>
          <w:sz w:val="24"/>
          <w:szCs w:val="24"/>
        </w:rPr>
        <w:footnoteReference w:id="138"/>
      </w:r>
      <w:r w:rsidRPr="009C3F69">
        <w:rPr>
          <w:rFonts w:ascii="Arial" w:eastAsia="Arial Unicode MS" w:hAnsi="Arial" w:cs="Arial"/>
          <w:sz w:val="24"/>
          <w:szCs w:val="24"/>
        </w:rPr>
        <w:t xml:space="preserve"> Section 4 of the Human Rights Act of UK like par 3 (c) of the preamble to the Fundamental Rights (Enforcement Procedures) Rules 2009, permit judges to issue a declaration of incompatibility, an explicit statement of a statute’s inconsistency with the European Convention on Human Rights. Furthermore, Section 6 of the Human Right Act (HRA) of UK requires public authorities, including the executive, to act in a manner compatible with Convention rights. The courts are charged with the responsibility of reviewing the decisions of parliaments and the executive, the elected branches of </w:t>
      </w:r>
      <w:r w:rsidRPr="009C3F69">
        <w:rPr>
          <w:rFonts w:ascii="Arial" w:eastAsia="Arial Unicode MS" w:hAnsi="Arial" w:cs="Arial"/>
          <w:sz w:val="24"/>
          <w:szCs w:val="24"/>
        </w:rPr>
        <w:lastRenderedPageBreak/>
        <w:t>government, to ensure they do not breach human rights.</w:t>
      </w:r>
      <w:r w:rsidRPr="009C3F69">
        <w:rPr>
          <w:rStyle w:val="FootnoteReference"/>
          <w:rFonts w:ascii="Arial" w:eastAsia="Arial Unicode MS" w:hAnsi="Arial" w:cs="Arial"/>
          <w:sz w:val="24"/>
          <w:szCs w:val="24"/>
        </w:rPr>
        <w:footnoteReference w:id="139"/>
      </w:r>
      <w:r w:rsidRPr="009C3F69">
        <w:rPr>
          <w:rFonts w:ascii="Arial" w:eastAsia="Arial Unicode MS" w:hAnsi="Arial" w:cs="Arial"/>
          <w:sz w:val="24"/>
          <w:szCs w:val="24"/>
        </w:rPr>
        <w:t xml:space="preserve"> As </w:t>
      </w:r>
      <w:r w:rsidRPr="009C3F69">
        <w:rPr>
          <w:rFonts w:ascii="Arial" w:eastAsia="Arial Unicode MS" w:hAnsi="Arial" w:cs="Arial"/>
          <w:b/>
          <w:sz w:val="24"/>
          <w:szCs w:val="24"/>
        </w:rPr>
        <w:t>Ewing, K</w:t>
      </w:r>
      <w:r w:rsidRPr="009C3F69">
        <w:rPr>
          <w:rFonts w:ascii="Arial" w:eastAsia="Arial Unicode MS" w:hAnsi="Arial" w:cs="Arial"/>
          <w:sz w:val="24"/>
          <w:szCs w:val="24"/>
        </w:rPr>
        <w:t xml:space="preserve"> puts it, the Human Rights Act represents an ‘unprecedented transfer of political power from the executive and legislature to the judiciary,’</w:t>
      </w:r>
      <w:r w:rsidRPr="009C3F69">
        <w:rPr>
          <w:rStyle w:val="FootnoteReference"/>
          <w:rFonts w:ascii="Arial" w:eastAsia="Arial Unicode MS" w:hAnsi="Arial" w:cs="Arial"/>
          <w:sz w:val="24"/>
          <w:szCs w:val="24"/>
        </w:rPr>
        <w:footnoteReference w:id="140"/>
      </w:r>
      <w:r w:rsidRPr="009C3F69">
        <w:rPr>
          <w:rFonts w:ascii="Arial" w:eastAsia="Arial Unicode MS" w:hAnsi="Arial" w:cs="Arial"/>
          <w:sz w:val="24"/>
          <w:szCs w:val="24"/>
        </w:rPr>
        <w:t xml:space="preserve"> so is the marriage of FOIA and FREP which requires the courts, unelected and democratically unaccountable, to review the actions and decisions of the elected branches.</w:t>
      </w:r>
    </w:p>
    <w:p w:rsidR="00600A30" w:rsidRPr="009C3F69" w:rsidRDefault="00600A30" w:rsidP="004A722B">
      <w:pPr>
        <w:tabs>
          <w:tab w:val="left" w:pos="0"/>
        </w:tabs>
        <w:spacing w:after="0"/>
        <w:ind w:left="-360"/>
        <w:jc w:val="both"/>
        <w:rPr>
          <w:rFonts w:ascii="Arial" w:eastAsia="Arial Unicode MS" w:hAnsi="Arial" w:cs="Arial"/>
          <w:b/>
          <w:sz w:val="24"/>
          <w:szCs w:val="24"/>
        </w:rPr>
      </w:pPr>
    </w:p>
    <w:p w:rsidR="00600A30" w:rsidRPr="009C3F69" w:rsidRDefault="00F17C5F" w:rsidP="004A722B">
      <w:pPr>
        <w:pStyle w:val="FootnoteText"/>
        <w:tabs>
          <w:tab w:val="left" w:pos="0"/>
        </w:tabs>
        <w:spacing w:line="276" w:lineRule="auto"/>
        <w:ind w:left="-360"/>
        <w:jc w:val="both"/>
        <w:rPr>
          <w:rFonts w:ascii="Arial" w:eastAsia="Arial Unicode MS" w:hAnsi="Arial" w:cs="Arial"/>
          <w:b/>
          <w:sz w:val="24"/>
          <w:szCs w:val="24"/>
        </w:rPr>
      </w:pPr>
      <w:r w:rsidRPr="009C3F69">
        <w:rPr>
          <w:rFonts w:ascii="Arial" w:eastAsia="Arial Unicode MS" w:hAnsi="Arial" w:cs="Arial"/>
          <w:b/>
          <w:sz w:val="24"/>
          <w:szCs w:val="24"/>
        </w:rPr>
        <w:t>IS LEAVE NECESSARY IN ENFORCING RIGHT TO INFORMATION?</w:t>
      </w:r>
    </w:p>
    <w:p w:rsidR="00600A30" w:rsidRPr="009C3F69" w:rsidRDefault="00F17C5F" w:rsidP="004A722B">
      <w:pPr>
        <w:pStyle w:val="FootnoteText"/>
        <w:tabs>
          <w:tab w:val="left" w:pos="0"/>
        </w:tabs>
        <w:spacing w:line="276" w:lineRule="auto"/>
        <w:ind w:left="-360"/>
        <w:jc w:val="both"/>
        <w:rPr>
          <w:rFonts w:ascii="Arial" w:eastAsia="Arial Unicode MS" w:hAnsi="Arial" w:cs="Arial"/>
          <w:sz w:val="24"/>
          <w:szCs w:val="24"/>
        </w:rPr>
      </w:pPr>
      <w:r w:rsidRPr="009C3F69">
        <w:rPr>
          <w:rFonts w:ascii="Arial" w:eastAsia="Arial Unicode MS" w:hAnsi="Arial" w:cs="Arial"/>
          <w:sz w:val="24"/>
          <w:szCs w:val="24"/>
        </w:rPr>
        <w:t>An application for enforcement of the fundamental right may be made with or without leave of courts.</w:t>
      </w:r>
      <w:r w:rsidRPr="009C3F69">
        <w:rPr>
          <w:rStyle w:val="FootnoteReference"/>
          <w:rFonts w:ascii="Arial" w:eastAsia="Arial Unicode MS" w:hAnsi="Arial" w:cs="Arial"/>
          <w:sz w:val="24"/>
          <w:szCs w:val="24"/>
        </w:rPr>
        <w:footnoteReference w:id="141"/>
      </w:r>
      <w:r w:rsidRPr="009C3F69">
        <w:rPr>
          <w:rFonts w:ascii="Arial" w:eastAsia="Arial Unicode MS" w:hAnsi="Arial" w:cs="Arial"/>
          <w:sz w:val="24"/>
          <w:szCs w:val="24"/>
        </w:rPr>
        <w:t xml:space="preserve">Leave of court is a necessary non-standard in the enforcement of fundamental rights. </w:t>
      </w:r>
      <w:r w:rsidRPr="009C3F69">
        <w:rPr>
          <w:rFonts w:ascii="Arial" w:hAnsi="Arial" w:cs="Arial"/>
          <w:sz w:val="24"/>
          <w:szCs w:val="24"/>
        </w:rPr>
        <w:t>In practice, provisions on access to public documents are very much a part of administrative law as also in human right. Within this area, legal remedies apply where access to public documents is denied.</w:t>
      </w:r>
      <w:r w:rsidRPr="009C3F69">
        <w:rPr>
          <w:rStyle w:val="FootnoteReference"/>
          <w:rFonts w:ascii="Arial" w:hAnsi="Arial" w:cs="Arial"/>
          <w:sz w:val="24"/>
          <w:szCs w:val="24"/>
        </w:rPr>
        <w:footnoteReference w:id="142"/>
      </w:r>
      <w:r w:rsidRPr="009C3F69">
        <w:rPr>
          <w:rFonts w:ascii="Arial" w:eastAsia="Arial Unicode MS" w:hAnsi="Arial" w:cs="Arial"/>
          <w:sz w:val="24"/>
          <w:szCs w:val="24"/>
        </w:rPr>
        <w:t xml:space="preserve">A degree of overlap exists between the liability of public bodies for loss caused by administrative acts and the liability of public bodies for the breach of individuals’ human rights. The consequence of the former is disciplinary action while the latter attracts damages. </w:t>
      </w:r>
    </w:p>
    <w:p w:rsidR="00600A30" w:rsidRPr="009C3F69" w:rsidRDefault="00600A30" w:rsidP="004A722B">
      <w:pPr>
        <w:pStyle w:val="FootnoteText"/>
        <w:tabs>
          <w:tab w:val="left" w:pos="0"/>
        </w:tabs>
        <w:spacing w:line="276" w:lineRule="auto"/>
        <w:ind w:left="-360"/>
        <w:jc w:val="both"/>
        <w:rPr>
          <w:rFonts w:ascii="Arial" w:eastAsia="Arial Unicode MS" w:hAnsi="Arial" w:cs="Arial"/>
          <w:sz w:val="24"/>
          <w:szCs w:val="24"/>
        </w:rPr>
      </w:pPr>
    </w:p>
    <w:p w:rsidR="00600A30" w:rsidRPr="009C3F69" w:rsidRDefault="00F17C5F" w:rsidP="004A722B">
      <w:pPr>
        <w:pStyle w:val="FootnoteText"/>
        <w:tabs>
          <w:tab w:val="left" w:pos="0"/>
        </w:tabs>
        <w:spacing w:line="276" w:lineRule="auto"/>
        <w:ind w:left="-360"/>
        <w:jc w:val="both"/>
        <w:rPr>
          <w:rFonts w:ascii="Arial" w:eastAsia="Arial Unicode MS" w:hAnsi="Arial" w:cs="Arial"/>
          <w:sz w:val="24"/>
          <w:szCs w:val="24"/>
        </w:rPr>
      </w:pPr>
      <w:r w:rsidRPr="009C3F69">
        <w:rPr>
          <w:rFonts w:ascii="Arial" w:eastAsia="Arial Unicode MS" w:hAnsi="Arial" w:cs="Arial"/>
          <w:sz w:val="24"/>
          <w:szCs w:val="24"/>
        </w:rPr>
        <w:t>Public body breach of human rights will usually be acts in the public sphere and so may be subject to judicial review. The common practice is the application for leave for judicial review made on notice.</w:t>
      </w:r>
      <w:r w:rsidRPr="009C3F69">
        <w:rPr>
          <w:rStyle w:val="FootnoteReference"/>
          <w:rFonts w:ascii="Arial" w:eastAsia="Arial Unicode MS" w:hAnsi="Arial" w:cs="Arial"/>
          <w:sz w:val="24"/>
          <w:szCs w:val="24"/>
        </w:rPr>
        <w:footnoteReference w:id="143"/>
      </w:r>
      <w:r w:rsidRPr="009C3F69">
        <w:rPr>
          <w:rFonts w:ascii="Arial" w:eastAsia="Arial Unicode MS" w:hAnsi="Arial" w:cs="Arial"/>
          <w:sz w:val="24"/>
          <w:szCs w:val="24"/>
        </w:rPr>
        <w:t xml:space="preserve"> The formal rules of court is unable to cope with the scale of rapid social rights upgrade and the consequent demands that initiated it. An application for leave for judicial review in enforcing the fundamental right to information is dispensable but when made must be on notice. Section 20 of the FOIA allows the applicant to apply to the court for judicial review within thirty days period of the letter of request. Where the time within which to file an application for judicial review has elapsed, it is only a motion on notice for an order for extension of time that commences the action. Ordinarily, an action for enforcement of right to information commences by letter of request for information, but after the expiration of the thirty days after the letter of request, leave for extension of time to review the decision of the agency must be on notice,</w:t>
      </w:r>
      <w:r w:rsidRPr="009C3F69">
        <w:rPr>
          <w:rStyle w:val="FootnoteReference"/>
          <w:rFonts w:ascii="Arial" w:eastAsia="Arial Unicode MS" w:hAnsi="Arial" w:cs="Arial"/>
          <w:sz w:val="24"/>
          <w:szCs w:val="24"/>
        </w:rPr>
        <w:footnoteReference w:id="144"/>
      </w:r>
      <w:r w:rsidRPr="009C3F69">
        <w:rPr>
          <w:rFonts w:ascii="Arial" w:eastAsia="Arial Unicode MS" w:hAnsi="Arial" w:cs="Arial"/>
          <w:sz w:val="24"/>
          <w:szCs w:val="24"/>
        </w:rPr>
        <w:t xml:space="preserve"> anything less is an infringement of the right to a fair hearing.</w:t>
      </w:r>
    </w:p>
    <w:p w:rsidR="00600A30" w:rsidRPr="009C3F69" w:rsidRDefault="00600A30" w:rsidP="004A722B">
      <w:pPr>
        <w:pStyle w:val="FootnoteText"/>
        <w:tabs>
          <w:tab w:val="left" w:pos="0"/>
        </w:tabs>
        <w:spacing w:line="276" w:lineRule="auto"/>
        <w:ind w:left="-360"/>
        <w:jc w:val="both"/>
        <w:rPr>
          <w:rFonts w:ascii="Arial" w:eastAsia="Arial Unicode MS" w:hAnsi="Arial" w:cs="Arial"/>
          <w:sz w:val="24"/>
          <w:szCs w:val="24"/>
        </w:rPr>
      </w:pPr>
    </w:p>
    <w:p w:rsidR="00600A30" w:rsidRPr="009C3F69" w:rsidRDefault="00F17C5F" w:rsidP="004A722B">
      <w:pPr>
        <w:pStyle w:val="FootnoteText"/>
        <w:tabs>
          <w:tab w:val="left" w:pos="0"/>
        </w:tabs>
        <w:spacing w:line="276" w:lineRule="auto"/>
        <w:ind w:left="-360"/>
        <w:jc w:val="both"/>
        <w:rPr>
          <w:rFonts w:ascii="Arial" w:eastAsia="Arial Unicode MS" w:hAnsi="Arial" w:cs="Arial"/>
          <w:sz w:val="24"/>
          <w:szCs w:val="24"/>
        </w:rPr>
      </w:pPr>
      <w:r w:rsidRPr="009C3F69">
        <w:rPr>
          <w:rFonts w:ascii="Arial" w:eastAsia="Arial Unicode MS" w:hAnsi="Arial" w:cs="Arial"/>
          <w:sz w:val="24"/>
          <w:szCs w:val="24"/>
        </w:rPr>
        <w:t xml:space="preserve">Where a statute sets a comprehensive review structure, leave for judicial review cannot be used to circumvent it. Also, where a statute has eliminated every barrier including leave as </w:t>
      </w:r>
      <w:r w:rsidRPr="009C3F69">
        <w:rPr>
          <w:rFonts w:ascii="Arial" w:eastAsia="Arial Unicode MS" w:hAnsi="Arial" w:cs="Arial"/>
          <w:sz w:val="24"/>
          <w:szCs w:val="24"/>
        </w:rPr>
        <w:lastRenderedPageBreak/>
        <w:t>done in FREP,</w:t>
      </w:r>
      <w:r w:rsidRPr="009C3F69">
        <w:rPr>
          <w:rStyle w:val="FootnoteReference"/>
          <w:rFonts w:ascii="Arial" w:eastAsia="Arial Unicode MS" w:hAnsi="Arial" w:cs="Arial"/>
          <w:sz w:val="24"/>
          <w:szCs w:val="24"/>
        </w:rPr>
        <w:footnoteReference w:id="145"/>
      </w:r>
      <w:r w:rsidRPr="009C3F69">
        <w:rPr>
          <w:rFonts w:ascii="Arial" w:eastAsia="Arial Unicode MS" w:hAnsi="Arial" w:cs="Arial"/>
          <w:sz w:val="24"/>
          <w:szCs w:val="24"/>
        </w:rPr>
        <w:t xml:space="preserve"> a leave for judicial review is unnecessary. It is clear that direct application for judicial review is the correct procedure and safer to make for enforcement of fundamental right to information. There is no need for an application for leave as same is a dinosaur practice in enforcement of rights in Nigeria. The notion of leave to enforce fundamental human right is discriminatory and its justification is baseless.</w:t>
      </w:r>
      <w:r w:rsidRPr="009C3F69">
        <w:rPr>
          <w:rStyle w:val="FootnoteReference"/>
          <w:rFonts w:ascii="Arial" w:eastAsia="Arial Unicode MS" w:hAnsi="Arial" w:cs="Arial"/>
          <w:sz w:val="24"/>
          <w:szCs w:val="24"/>
        </w:rPr>
        <w:footnoteReference w:id="146"/>
      </w:r>
      <w:r w:rsidRPr="009C3F69">
        <w:rPr>
          <w:rFonts w:ascii="Arial" w:eastAsia="Arial Unicode MS" w:hAnsi="Arial" w:cs="Arial"/>
          <w:sz w:val="24"/>
          <w:szCs w:val="24"/>
        </w:rPr>
        <w:t>The issue of standing has been abrogated by the rules regulating the enforcement of fundamental rights in Nigeria. The requirement of leave or notice is an unwarranted abridgment of the fundamental right to information, the time within which to apply to court must be consistent with the enforcement of other fundamental rights. The court can view the failure to apply for leave as a mere irregularity. The Court of Appeal in UK re-examined the effect of non-compliance with procedural statutory requirements laid down in statute in R v Jayeannthan.</w:t>
      </w:r>
      <w:r w:rsidRPr="009C3F69">
        <w:rPr>
          <w:rStyle w:val="FootnoteReference"/>
          <w:rFonts w:ascii="Arial" w:eastAsia="Arial Unicode MS" w:hAnsi="Arial" w:cs="Arial"/>
          <w:sz w:val="24"/>
          <w:szCs w:val="24"/>
        </w:rPr>
        <w:footnoteReference w:id="147"/>
      </w:r>
      <w:r w:rsidRPr="009C3F69">
        <w:rPr>
          <w:rFonts w:ascii="Arial" w:eastAsia="Arial Unicode MS" w:hAnsi="Arial" w:cs="Arial"/>
          <w:sz w:val="24"/>
          <w:szCs w:val="24"/>
        </w:rPr>
        <w:t xml:space="preserve">Here, </w:t>
      </w:r>
      <w:r w:rsidRPr="009C3F69">
        <w:rPr>
          <w:rFonts w:ascii="Arial" w:hAnsi="Arial" w:cs="Arial"/>
          <w:sz w:val="24"/>
          <w:szCs w:val="24"/>
        </w:rPr>
        <w:t xml:space="preserve">the Home Secretary failed to comply with the requirements of the Asylum Appeals Rules by not including a declaration of truth in an application for leave to appeal. However, the asylum seeker was not affected by the omission, which was treated as a mere irregularity. </w:t>
      </w:r>
      <w:r w:rsidRPr="009C3F69">
        <w:rPr>
          <w:rFonts w:ascii="Arial" w:eastAsia="Arial Unicode MS" w:hAnsi="Arial" w:cs="Arial"/>
          <w:sz w:val="24"/>
          <w:szCs w:val="24"/>
        </w:rPr>
        <w:t>An application for leave for judicial review can defeat emerging rights arising, as leave is a brake on growth of enforcement of rights. Where a statute limits the availability of constitutional right, the court will adopt a restrictive interpretation to the provision, employing the presumption that the lawmakers did not intend to exclude the jurisdiction of court.</w:t>
      </w:r>
    </w:p>
    <w:p w:rsidR="00600A30" w:rsidRPr="009C3F69" w:rsidRDefault="00600A30" w:rsidP="004A722B">
      <w:pPr>
        <w:pStyle w:val="FootnoteText"/>
        <w:tabs>
          <w:tab w:val="left" w:pos="0"/>
        </w:tabs>
        <w:spacing w:line="276" w:lineRule="auto"/>
        <w:ind w:left="-360"/>
        <w:jc w:val="both"/>
        <w:rPr>
          <w:rFonts w:ascii="Arial" w:eastAsia="Arial Unicode MS" w:hAnsi="Arial" w:cs="Arial"/>
          <w:sz w:val="24"/>
          <w:szCs w:val="24"/>
        </w:rPr>
      </w:pPr>
    </w:p>
    <w:p w:rsidR="00600A30" w:rsidRPr="009C3F69" w:rsidRDefault="00F17C5F" w:rsidP="004A722B">
      <w:pPr>
        <w:pStyle w:val="FootnoteText"/>
        <w:tabs>
          <w:tab w:val="left" w:pos="0"/>
        </w:tabs>
        <w:spacing w:line="276" w:lineRule="auto"/>
        <w:ind w:left="-360"/>
        <w:jc w:val="both"/>
        <w:rPr>
          <w:rFonts w:ascii="Arial" w:eastAsia="Arial Unicode MS" w:hAnsi="Arial" w:cs="Arial"/>
          <w:sz w:val="24"/>
          <w:szCs w:val="24"/>
        </w:rPr>
      </w:pPr>
      <w:r w:rsidRPr="009C3F69">
        <w:rPr>
          <w:rFonts w:ascii="Arial" w:eastAsia="Arial Unicode MS" w:hAnsi="Arial" w:cs="Arial"/>
          <w:sz w:val="24"/>
          <w:szCs w:val="24"/>
        </w:rPr>
        <w:t xml:space="preserve">The law which makes judicial review needful and creates time limitation of thirty days of the decision of the agency is unconstitutional, because the enforcement of fundamental right in the constitution cannot be limited by any law. The Supreme Court in </w:t>
      </w:r>
      <w:r w:rsidRPr="009C3F69">
        <w:rPr>
          <w:rFonts w:ascii="Arial" w:eastAsia="Arial Unicode MS" w:hAnsi="Arial" w:cs="Arial"/>
          <w:b/>
          <w:sz w:val="24"/>
          <w:szCs w:val="24"/>
        </w:rPr>
        <w:t>A.G. Ondo State v Attorney General of the Federation</w:t>
      </w:r>
      <w:r w:rsidRPr="009C3F69">
        <w:rPr>
          <w:rFonts w:ascii="Arial" w:eastAsia="Arial Unicode MS" w:hAnsi="Arial" w:cs="Arial"/>
          <w:sz w:val="24"/>
          <w:szCs w:val="24"/>
        </w:rPr>
        <w:t>,</w:t>
      </w:r>
      <w:r w:rsidRPr="009C3F69">
        <w:rPr>
          <w:rStyle w:val="FootnoteReference"/>
          <w:rFonts w:ascii="Arial" w:eastAsia="Arial Unicode MS" w:hAnsi="Arial" w:cs="Arial"/>
          <w:sz w:val="24"/>
          <w:szCs w:val="24"/>
        </w:rPr>
        <w:footnoteReference w:id="148"/>
      </w:r>
      <w:r w:rsidRPr="009C3F69">
        <w:rPr>
          <w:rFonts w:ascii="Arial" w:eastAsia="Arial Unicode MS" w:hAnsi="Arial" w:cs="Arial"/>
          <w:sz w:val="24"/>
          <w:szCs w:val="24"/>
        </w:rPr>
        <w:t xml:space="preserve"> held that section 26(3) of the Independent Corrupt Practices and Related Offences Act that prescribed that prosecution and judgment be concluded within 90 working days of the commencement of prosecution is illegal as it infringes on the principle of separation of powers. The Supreme Court emphasized that the legislature cannot time the duration of delivery of judgment and the fundamental right to liberty guaranteed under section 35 of the 1999 Constitution. </w:t>
      </w:r>
      <w:r w:rsidRPr="009C3F69">
        <w:rPr>
          <w:rFonts w:ascii="Arial" w:eastAsia="Arial Unicode MS" w:hAnsi="Arial" w:cs="Arial"/>
          <w:color w:val="000000"/>
          <w:sz w:val="24"/>
          <w:szCs w:val="24"/>
        </w:rPr>
        <w:t xml:space="preserve">The timing of enforcement will bring a negative shift in the enforcement of right to information </w:t>
      </w:r>
      <w:r w:rsidRPr="009C3F69">
        <w:rPr>
          <w:rFonts w:ascii="Arial" w:eastAsia="Arial Unicode MS" w:hAnsi="Arial" w:cs="Arial"/>
          <w:sz w:val="24"/>
          <w:szCs w:val="24"/>
        </w:rPr>
        <w:t xml:space="preserve">because access to public records and the restrictions imposed by agency have great impact on other fundamental right in Chapter two of the Constitution of 1999. </w:t>
      </w:r>
    </w:p>
    <w:p w:rsidR="00600A30" w:rsidRPr="009C3F69" w:rsidRDefault="00600A30" w:rsidP="004A722B">
      <w:pPr>
        <w:pStyle w:val="FootnoteText"/>
        <w:tabs>
          <w:tab w:val="left" w:pos="0"/>
        </w:tabs>
        <w:spacing w:line="276" w:lineRule="auto"/>
        <w:ind w:left="-360"/>
        <w:jc w:val="both"/>
        <w:rPr>
          <w:rFonts w:ascii="Arial" w:eastAsia="Arial Unicode MS" w:hAnsi="Arial" w:cs="Arial"/>
          <w:sz w:val="24"/>
          <w:szCs w:val="24"/>
        </w:rPr>
      </w:pPr>
    </w:p>
    <w:p w:rsidR="00600A30" w:rsidRPr="009C3F69" w:rsidRDefault="00F17C5F" w:rsidP="004A722B">
      <w:pPr>
        <w:pStyle w:val="FootnoteText"/>
        <w:tabs>
          <w:tab w:val="left" w:pos="0"/>
        </w:tabs>
        <w:spacing w:line="276" w:lineRule="auto"/>
        <w:ind w:left="-360"/>
        <w:jc w:val="both"/>
        <w:rPr>
          <w:rFonts w:ascii="Arial" w:eastAsia="Arial Unicode MS" w:hAnsi="Arial" w:cs="Arial"/>
          <w:b/>
          <w:sz w:val="24"/>
          <w:szCs w:val="24"/>
        </w:rPr>
      </w:pPr>
      <w:r w:rsidRPr="009C3F69">
        <w:rPr>
          <w:rFonts w:ascii="Arial" w:eastAsia="Arial Unicode MS" w:hAnsi="Arial" w:cs="Arial"/>
          <w:b/>
          <w:sz w:val="24"/>
          <w:szCs w:val="24"/>
        </w:rPr>
        <w:t>RECOMMENDATIONS</w:t>
      </w:r>
    </w:p>
    <w:p w:rsidR="00600A30" w:rsidRPr="009C3F69" w:rsidRDefault="00F17C5F" w:rsidP="004A722B">
      <w:pPr>
        <w:pStyle w:val="FootnoteText"/>
        <w:tabs>
          <w:tab w:val="left" w:pos="0"/>
        </w:tabs>
        <w:spacing w:line="276" w:lineRule="auto"/>
        <w:ind w:left="-360"/>
        <w:jc w:val="both"/>
        <w:rPr>
          <w:rFonts w:ascii="Arial" w:hAnsi="Arial" w:cs="Arial"/>
          <w:sz w:val="24"/>
          <w:szCs w:val="24"/>
        </w:rPr>
      </w:pPr>
      <w:r w:rsidRPr="009C3F69">
        <w:rPr>
          <w:rFonts w:ascii="Arial" w:hAnsi="Arial" w:cs="Arial"/>
          <w:sz w:val="24"/>
          <w:szCs w:val="24"/>
        </w:rPr>
        <w:t xml:space="preserve">Before the advent of the Freedom of Information Act, there are plethora of legislations on open government like the Environmental Impact Assessment Act; the Fiscal Responsibility </w:t>
      </w:r>
      <w:r w:rsidRPr="009C3F69">
        <w:rPr>
          <w:rFonts w:ascii="Arial" w:hAnsi="Arial" w:cs="Arial"/>
          <w:sz w:val="24"/>
          <w:szCs w:val="24"/>
        </w:rPr>
        <w:lastRenderedPageBreak/>
        <w:t xml:space="preserve">Act; the Nigeria Extractive Industries Transparency Initiative (NIEIT); the Public Procurements Act; and the National Archives Act. None of the legislations mentioned above established a review process for complaint if information sought is withheld. The FOIA arrived with a clean slate of review with the abdication of leave, recreation of a legal right to information, structuring of administration of public documents and an opportunity for the enforcement of fundamental right to information just as expression in Nigeria. The pre-condition for the enforcement of right to information under the FOIA is a letter of request for the public record. The seven (7) days </w:t>
      </w:r>
      <w:r w:rsidR="007D20B3">
        <w:rPr>
          <w:rFonts w:ascii="Arial" w:hAnsi="Arial" w:cs="Arial"/>
          <w:sz w:val="24"/>
          <w:szCs w:val="24"/>
        </w:rPr>
        <w:t xml:space="preserve">time limit for responding to request </w:t>
      </w:r>
      <w:r w:rsidRPr="009C3F69">
        <w:rPr>
          <w:rFonts w:ascii="Arial" w:hAnsi="Arial" w:cs="Arial"/>
          <w:sz w:val="24"/>
          <w:szCs w:val="24"/>
        </w:rPr>
        <w:t xml:space="preserve">in the face of lack of expertise and current budgetary constraints is a practical impossibility. The period of disclosure is too short considering the lack of digital infrastructure in the country. </w:t>
      </w:r>
      <w:r w:rsidRPr="009C3F69">
        <w:rPr>
          <w:rFonts w:ascii="Arial" w:eastAsia="Arial Unicode MS" w:hAnsi="Arial" w:cs="Arial"/>
          <w:sz w:val="24"/>
          <w:szCs w:val="24"/>
        </w:rPr>
        <w:t xml:space="preserve">The Act should be amended to require agencies to respond to FOIA request within 30 days with court order of extension of not more than 30 days. </w:t>
      </w:r>
      <w:r w:rsidRPr="009C3F69">
        <w:rPr>
          <w:rFonts w:ascii="Arial" w:hAnsi="Arial" w:cs="Arial"/>
          <w:sz w:val="24"/>
          <w:szCs w:val="24"/>
        </w:rPr>
        <w:t xml:space="preserve">The agency should apply to court by way of motion on notice seeking for extension of time with the disclosure of reason for the delay on the affidavit. </w:t>
      </w:r>
    </w:p>
    <w:p w:rsidR="00600A30" w:rsidRPr="009C3F69" w:rsidRDefault="00600A30" w:rsidP="004A722B">
      <w:pPr>
        <w:pStyle w:val="FootnoteText"/>
        <w:tabs>
          <w:tab w:val="left" w:pos="0"/>
        </w:tabs>
        <w:spacing w:line="276" w:lineRule="auto"/>
        <w:ind w:left="-360"/>
        <w:jc w:val="both"/>
        <w:rPr>
          <w:rFonts w:ascii="Arial" w:hAnsi="Arial" w:cs="Arial"/>
          <w:sz w:val="24"/>
          <w:szCs w:val="24"/>
        </w:rPr>
      </w:pPr>
    </w:p>
    <w:p w:rsidR="00600A30" w:rsidRPr="009C3F69" w:rsidRDefault="00F17C5F" w:rsidP="004A722B">
      <w:pPr>
        <w:pStyle w:val="FootnoteText"/>
        <w:tabs>
          <w:tab w:val="left" w:pos="0"/>
        </w:tabs>
        <w:spacing w:line="276" w:lineRule="auto"/>
        <w:ind w:left="-360"/>
        <w:jc w:val="both"/>
        <w:rPr>
          <w:rFonts w:ascii="Arial" w:hAnsi="Arial" w:cs="Arial"/>
          <w:sz w:val="24"/>
          <w:szCs w:val="24"/>
        </w:rPr>
      </w:pPr>
      <w:r w:rsidRPr="009C3F69">
        <w:rPr>
          <w:rFonts w:ascii="Arial" w:hAnsi="Arial" w:cs="Arial"/>
          <w:color w:val="000000"/>
          <w:sz w:val="24"/>
          <w:szCs w:val="24"/>
        </w:rPr>
        <w:t>Third party monitoring of government activities reduces the propensity of corruption</w:t>
      </w:r>
      <w:r w:rsidRPr="009C3F69">
        <w:rPr>
          <w:rFonts w:ascii="Arial" w:hAnsi="Arial" w:cs="Arial"/>
          <w:sz w:val="24"/>
          <w:szCs w:val="24"/>
        </w:rPr>
        <w:t xml:space="preserve">, prevents abuse of office and facilitates democratic participation </w:t>
      </w:r>
      <w:r w:rsidRPr="009C3F69">
        <w:rPr>
          <w:rFonts w:ascii="Arial" w:hAnsi="Arial" w:cs="Arial"/>
          <w:color w:val="000000"/>
          <w:sz w:val="24"/>
          <w:szCs w:val="24"/>
        </w:rPr>
        <w:t xml:space="preserve">or overall citizen engagement. </w:t>
      </w:r>
      <w:r w:rsidRPr="009C3F69">
        <w:rPr>
          <w:rFonts w:ascii="Arial" w:hAnsi="Arial" w:cs="Arial"/>
          <w:bCs/>
          <w:sz w:val="24"/>
          <w:szCs w:val="24"/>
        </w:rPr>
        <w:t xml:space="preserve">Government, particularly at the grassroots appears nonchalant about its failing or indifferent to accountability. This trend is more worrisome given the fact that the people in rural areas, particularly the women and youths are totally ignorant about information on government activities and the cost of governance. Rather than using public records for projection, rural dwellers </w:t>
      </w:r>
      <w:r w:rsidRPr="009C3F69">
        <w:rPr>
          <w:rFonts w:ascii="Arial" w:hAnsi="Arial" w:cs="Arial"/>
          <w:sz w:val="24"/>
          <w:szCs w:val="24"/>
        </w:rPr>
        <w:t>consult witch doctors to know what the future holds. There is need committed local leadership and effective rural tactics to render the task – a methodology to keep rural dwellers in information sharing. A grassroots action plan is an approach for data collection with peer to peer information sharing at the grassroots substituting questionnaire survey. It will eliminate any language barrier and inure communities to effectively manage the information of their resources. Rural youth tactics is is a methodology of disseminating information to the grassroots by rural youth in an unconventional way like traditional communication through informal information officers with the use of megaphones and ringing bells. This is because rural people are creative and capable of communication, and can do their own investigation, analysis and planning. There should also be a Freedom of Information Club (FOIC) in junior and senior secondary schools especially at the grassroots. Also young lawyers leaving at the grassroots should also be trained on how to hold abusers to account and in turn train the information officers at the grassroots on innovative disclosure methods.</w:t>
      </w:r>
    </w:p>
    <w:p w:rsidR="00600A30" w:rsidRPr="009C3F69" w:rsidRDefault="00600A30" w:rsidP="004A722B">
      <w:pPr>
        <w:tabs>
          <w:tab w:val="left" w:pos="0"/>
        </w:tabs>
        <w:autoSpaceDE w:val="0"/>
        <w:autoSpaceDN w:val="0"/>
        <w:adjustRightInd w:val="0"/>
        <w:spacing w:after="0"/>
        <w:ind w:left="-360"/>
        <w:jc w:val="both"/>
        <w:rPr>
          <w:rFonts w:ascii="Arial" w:hAnsi="Arial" w:cs="Arial"/>
          <w:sz w:val="24"/>
          <w:szCs w:val="24"/>
        </w:rPr>
      </w:pPr>
    </w:p>
    <w:p w:rsidR="00600A30" w:rsidRPr="009C3F69" w:rsidRDefault="00F17C5F" w:rsidP="004A722B">
      <w:pPr>
        <w:tabs>
          <w:tab w:val="left" w:pos="0"/>
        </w:tabs>
        <w:autoSpaceDE w:val="0"/>
        <w:autoSpaceDN w:val="0"/>
        <w:adjustRightInd w:val="0"/>
        <w:spacing w:after="0"/>
        <w:ind w:left="-360"/>
        <w:jc w:val="both"/>
        <w:rPr>
          <w:rFonts w:ascii="Arial" w:hAnsi="Arial" w:cs="Arial"/>
          <w:sz w:val="24"/>
          <w:szCs w:val="24"/>
        </w:rPr>
      </w:pPr>
      <w:r w:rsidRPr="009C3F69">
        <w:rPr>
          <w:rFonts w:ascii="Arial" w:eastAsia="Arial Unicode MS" w:hAnsi="Arial" w:cs="Arial"/>
          <w:sz w:val="24"/>
          <w:szCs w:val="24"/>
        </w:rPr>
        <w:t xml:space="preserve">Practically, right to information should pull us back from a future segregated by history and knowledge save for pubic officers’ collective heel dragging and lackadaisical attitude of pubic duty makes information vulnerable to delay. This is less suited for an era of impatience with public service delivery. </w:t>
      </w:r>
      <w:r w:rsidRPr="009C3F69">
        <w:rPr>
          <w:rFonts w:ascii="Arial" w:hAnsi="Arial" w:cs="Arial"/>
          <w:sz w:val="24"/>
          <w:szCs w:val="24"/>
        </w:rPr>
        <w:t xml:space="preserve">Public officers must unceasingly seek to quicken </w:t>
      </w:r>
      <w:r w:rsidRPr="009C3F69">
        <w:rPr>
          <w:rFonts w:ascii="Arial" w:hAnsi="Arial" w:cs="Arial"/>
          <w:sz w:val="24"/>
          <w:szCs w:val="24"/>
        </w:rPr>
        <w:lastRenderedPageBreak/>
        <w:t xml:space="preserve">the sense of public duty against the </w:t>
      </w:r>
      <w:r w:rsidRPr="009C3F69">
        <w:rPr>
          <w:rFonts w:ascii="Arial" w:eastAsia="Arial Unicode MS" w:hAnsi="Arial" w:cs="Arial"/>
          <w:sz w:val="24"/>
          <w:szCs w:val="24"/>
        </w:rPr>
        <w:t>features of Nigeria’s bureaucracy. This is not without training public officers on the constitution and other open government legislations as well as imposed restrictions, so as not spare expense in strong sentiment of disgust.</w:t>
      </w:r>
      <w:r w:rsidRPr="009C3F69">
        <w:rPr>
          <w:rFonts w:ascii="Arial" w:hAnsi="Arial" w:cs="Arial"/>
          <w:sz w:val="24"/>
          <w:szCs w:val="24"/>
        </w:rPr>
        <w:t>  For FOIA to be given its true sense, public officers must accept the glory that the citizens shed on their way by paying their tax. Lack of transparency births corruption. The primary force in favor of disclosure that should be considered includes legitimate concerns about corruption or mismanagement. This can only be conquered not only by doing good will, but with trust and obedience. The greatest form of trust to be expresses by a public officer to the public is to share its information not as sorrow, not as burden to bear, not a loss, not a frown, not a cross but fair trustees’ commitment to beneficiaries. Right to receive government information is a prerequisite for the meaningful exercise of other fundamental rights in a modern democracy peculiarly a Nigerian state</w:t>
      </w:r>
      <w:r w:rsidRPr="009C3F69">
        <w:rPr>
          <w:rFonts w:ascii="Arial" w:hAnsi="Arial" w:cs="Arial"/>
          <w:iCs/>
          <w:sz w:val="24"/>
          <w:szCs w:val="24"/>
        </w:rPr>
        <w:t xml:space="preserve">. </w:t>
      </w:r>
      <w:r w:rsidR="007D20B3" w:rsidRPr="009C3F69">
        <w:rPr>
          <w:rFonts w:ascii="Arial" w:hAnsi="Arial" w:cs="Arial"/>
          <w:iCs/>
          <w:sz w:val="24"/>
          <w:szCs w:val="24"/>
        </w:rPr>
        <w:t>It</w:t>
      </w:r>
      <w:r w:rsidRPr="009C3F69">
        <w:rPr>
          <w:rFonts w:ascii="Arial" w:hAnsi="Arial" w:cs="Arial"/>
          <w:iCs/>
          <w:sz w:val="24"/>
          <w:szCs w:val="24"/>
        </w:rPr>
        <w:t xml:space="preserve"> is a </w:t>
      </w:r>
      <w:r w:rsidRPr="009C3F69">
        <w:rPr>
          <w:rFonts w:ascii="Arial" w:hAnsi="Arial" w:cs="Arial"/>
          <w:sz w:val="24"/>
          <w:szCs w:val="24"/>
        </w:rPr>
        <w:t>basic political right and the absence of it is a society dead but not clinically. There is a clear trend in the democratic world to consider free access to disclosure records as essential to ensuring the integrity and credibility of the government</w:t>
      </w:r>
      <w:r w:rsidRPr="009C3F69">
        <w:rPr>
          <w:rFonts w:ascii="Arial" w:hAnsi="Arial" w:cs="Arial"/>
          <w:iCs/>
          <w:sz w:val="24"/>
          <w:szCs w:val="24"/>
        </w:rPr>
        <w:t xml:space="preserve"> because</w:t>
      </w:r>
      <w:r w:rsidRPr="009C3F69">
        <w:rPr>
          <w:rFonts w:ascii="Arial" w:hAnsi="Arial" w:cs="Arial"/>
          <w:sz w:val="24"/>
          <w:szCs w:val="24"/>
        </w:rPr>
        <w:t xml:space="preserve"> public office and shouldering public trust require this.</w:t>
      </w:r>
    </w:p>
    <w:p w:rsidR="00600A30" w:rsidRPr="009C3F69" w:rsidRDefault="00F17C5F" w:rsidP="004A722B">
      <w:pPr>
        <w:tabs>
          <w:tab w:val="left" w:pos="0"/>
        </w:tabs>
        <w:autoSpaceDE w:val="0"/>
        <w:autoSpaceDN w:val="0"/>
        <w:adjustRightInd w:val="0"/>
        <w:spacing w:after="0"/>
        <w:ind w:left="-360"/>
        <w:jc w:val="both"/>
        <w:rPr>
          <w:rFonts w:ascii="Arial" w:hAnsi="Arial" w:cs="Arial"/>
          <w:sz w:val="24"/>
          <w:szCs w:val="24"/>
        </w:rPr>
      </w:pPr>
      <w:r w:rsidRPr="009C3F69">
        <w:rPr>
          <w:rFonts w:ascii="Arial" w:eastAsia="Arial Unicode MS" w:hAnsi="Arial" w:cs="Arial"/>
          <w:sz w:val="24"/>
          <w:szCs w:val="24"/>
        </w:rPr>
        <w:t xml:space="preserve">Assuming but not conceding that right to information is a new right, a new right like information can only be created from old one like expression, if the latter is pregnant. It is easier for the old right to expression to birth a new right of information seeing that the right of expression glooms and enjoy the abundant fresh air of the Constitution that gives right to newer rights. In whatever way, the court may have to interpret rather than legislate. The court must be influenced by global adjustment and the need to strengthen the confidence of the public on existing laws. Chapter four of the Constitution of 1999 is enforced by </w:t>
      </w:r>
      <w:r w:rsidRPr="009C3F69">
        <w:rPr>
          <w:rFonts w:ascii="Arial" w:hAnsi="Arial" w:cs="Arial"/>
          <w:sz w:val="24"/>
          <w:szCs w:val="24"/>
        </w:rPr>
        <w:t>FREP</w:t>
      </w:r>
      <w:r w:rsidRPr="009C3F69">
        <w:rPr>
          <w:rFonts w:ascii="Arial" w:eastAsia="Arial Unicode MS" w:hAnsi="Arial" w:cs="Arial"/>
          <w:color w:val="000000"/>
          <w:sz w:val="24"/>
          <w:szCs w:val="24"/>
        </w:rPr>
        <w:t xml:space="preserve">, it is this link that provides the basis on which to eliminate any ‘leave barrier’ espoused by </w:t>
      </w:r>
      <w:r w:rsidRPr="009C3F69">
        <w:rPr>
          <w:rFonts w:ascii="Arial" w:eastAsia="Arial Unicode MS" w:hAnsi="Arial" w:cs="Arial"/>
          <w:sz w:val="24"/>
          <w:szCs w:val="24"/>
        </w:rPr>
        <w:t xml:space="preserve">FOIA so as not to create procedural hardship which FREP is made to remove. </w:t>
      </w:r>
      <w:r w:rsidRPr="009C3F69">
        <w:rPr>
          <w:rFonts w:ascii="Arial" w:hAnsi="Arial" w:cs="Arial"/>
          <w:sz w:val="24"/>
          <w:szCs w:val="24"/>
        </w:rPr>
        <w:t xml:space="preserve">Our judges have to interpret the law, such that, it makes sense to our citizens in distress and assures them of equal freedom and justice in the on-going case of the Nigerian people versus corruption. </w:t>
      </w:r>
    </w:p>
    <w:p w:rsidR="00600A30" w:rsidRPr="009C3F69" w:rsidRDefault="00600A30" w:rsidP="004A722B">
      <w:pPr>
        <w:pStyle w:val="FootnoteText"/>
        <w:tabs>
          <w:tab w:val="left" w:pos="0"/>
        </w:tabs>
        <w:spacing w:line="276" w:lineRule="auto"/>
        <w:ind w:left="-360"/>
        <w:jc w:val="both"/>
        <w:rPr>
          <w:rFonts w:ascii="Arial" w:eastAsia="Arial Unicode MS" w:hAnsi="Arial" w:cs="Arial"/>
          <w:sz w:val="24"/>
          <w:szCs w:val="24"/>
        </w:rPr>
      </w:pPr>
    </w:p>
    <w:p w:rsidR="00600A30" w:rsidRPr="009C3F69" w:rsidRDefault="00600A30" w:rsidP="004A722B">
      <w:pPr>
        <w:tabs>
          <w:tab w:val="left" w:pos="0"/>
        </w:tabs>
        <w:autoSpaceDE w:val="0"/>
        <w:autoSpaceDN w:val="0"/>
        <w:adjustRightInd w:val="0"/>
        <w:spacing w:after="0"/>
        <w:jc w:val="both"/>
        <w:rPr>
          <w:rFonts w:ascii="Arial" w:hAnsi="Arial" w:cs="Arial"/>
          <w:sz w:val="24"/>
          <w:szCs w:val="24"/>
        </w:rPr>
      </w:pPr>
    </w:p>
    <w:sectPr w:rsidR="00600A30" w:rsidRPr="009C3F69" w:rsidSect="00600A30">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27FC" w:rsidRDefault="00C427FC" w:rsidP="00600A30">
      <w:pPr>
        <w:spacing w:after="0" w:line="240" w:lineRule="auto"/>
      </w:pPr>
      <w:r>
        <w:separator/>
      </w:r>
    </w:p>
  </w:endnote>
  <w:endnote w:type="continuationSeparator" w:id="1">
    <w:p w:rsidR="00C427FC" w:rsidRDefault="00C427FC" w:rsidP="00600A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Times New Roman,Italic">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A30" w:rsidRDefault="00CA24C3">
    <w:pPr>
      <w:pStyle w:val="Footer"/>
      <w:pBdr>
        <w:top w:val="single" w:sz="4" w:space="1" w:color="D9D9D9"/>
      </w:pBdr>
      <w:rPr>
        <w:b/>
        <w:bCs/>
      </w:rPr>
    </w:pPr>
    <w:r w:rsidRPr="00CA24C3">
      <w:fldChar w:fldCharType="begin"/>
    </w:r>
    <w:r w:rsidR="00F17C5F">
      <w:instrText xml:space="preserve"> PAGE   \* MERGEFORMAT </w:instrText>
    </w:r>
    <w:r w:rsidRPr="00CA24C3">
      <w:fldChar w:fldCharType="separate"/>
    </w:r>
    <w:r w:rsidR="00857742" w:rsidRPr="00857742">
      <w:rPr>
        <w:b/>
        <w:bCs/>
        <w:noProof/>
      </w:rPr>
      <w:t>2</w:t>
    </w:r>
    <w:r>
      <w:rPr>
        <w:b/>
        <w:bCs/>
      </w:rPr>
      <w:fldChar w:fldCharType="end"/>
    </w:r>
    <w:r w:rsidR="00F17C5F">
      <w:rPr>
        <w:b/>
        <w:bCs/>
      </w:rPr>
      <w:t xml:space="preserve"> | </w:t>
    </w:r>
    <w:r w:rsidR="00F17C5F">
      <w:rPr>
        <w:color w:val="7F7F7F"/>
        <w:spacing w:val="60"/>
      </w:rPr>
      <w:t>Page</w:t>
    </w:r>
  </w:p>
  <w:p w:rsidR="00600A30" w:rsidRDefault="00600A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27FC" w:rsidRDefault="00C427FC" w:rsidP="00600A30">
      <w:pPr>
        <w:spacing w:after="0" w:line="240" w:lineRule="auto"/>
      </w:pPr>
      <w:r>
        <w:separator/>
      </w:r>
    </w:p>
  </w:footnote>
  <w:footnote w:type="continuationSeparator" w:id="1">
    <w:p w:rsidR="00C427FC" w:rsidRDefault="00C427FC" w:rsidP="00600A30">
      <w:pPr>
        <w:spacing w:after="0" w:line="240" w:lineRule="auto"/>
      </w:pPr>
      <w:r>
        <w:continuationSeparator/>
      </w:r>
    </w:p>
  </w:footnote>
  <w:footnote w:id="2">
    <w:p w:rsidR="00600A30" w:rsidRPr="00B86A3A" w:rsidRDefault="004B2CB8" w:rsidP="009C3F69">
      <w:pPr>
        <w:pStyle w:val="FootnoteText"/>
        <w:numPr>
          <w:ilvl w:val="0"/>
          <w:numId w:val="1"/>
        </w:numPr>
        <w:ind w:left="-270" w:firstLine="0"/>
        <w:jc w:val="both"/>
        <w:rPr>
          <w:rStyle w:val="Hyperlink"/>
          <w:rFonts w:ascii="Andalus" w:eastAsia="Arial Unicode MS" w:hAnsi="Andalus" w:cs="Andalus"/>
          <w:color w:val="auto"/>
          <w:u w:val="none"/>
        </w:rPr>
      </w:pPr>
      <w:r>
        <w:rPr>
          <w:rFonts w:ascii="Andalus" w:hAnsi="Andalus" w:cs="Andalus"/>
        </w:rPr>
        <w:t xml:space="preserve">President Aigbokhan, </w:t>
      </w:r>
      <w:r w:rsidR="00F17C5F" w:rsidRPr="00B86A3A">
        <w:rPr>
          <w:rFonts w:ascii="Andalus" w:hAnsi="Andalus" w:cs="Andalus"/>
        </w:rPr>
        <w:t xml:space="preserve">L.L.B </w:t>
      </w:r>
      <w:r>
        <w:rPr>
          <w:rFonts w:ascii="Andalus" w:hAnsi="Andalus" w:cs="Andalus"/>
        </w:rPr>
        <w:t>(</w:t>
      </w:r>
      <w:r w:rsidR="00F17C5F" w:rsidRPr="00B86A3A">
        <w:rPr>
          <w:rFonts w:ascii="Andalus" w:hAnsi="Andalus" w:cs="Andalus"/>
        </w:rPr>
        <w:t>Ambrose Alli University) 2007; BL (Lagos) 2009; LL.M</w:t>
      </w:r>
      <w:r>
        <w:rPr>
          <w:rFonts w:ascii="Andalus" w:hAnsi="Andalus" w:cs="Andalus"/>
        </w:rPr>
        <w:t xml:space="preserve"> in vie</w:t>
      </w:r>
      <w:r w:rsidR="00857742">
        <w:rPr>
          <w:rFonts w:ascii="Andalus" w:hAnsi="Andalus" w:cs="Andalus"/>
        </w:rPr>
        <w:t>w (Ambrose Alli University)</w:t>
      </w:r>
      <w:r w:rsidR="00F17C5F" w:rsidRPr="00B86A3A">
        <w:rPr>
          <w:rFonts w:ascii="Andalus" w:hAnsi="Andalus" w:cs="Andalus"/>
        </w:rPr>
        <w:t xml:space="preserve">, Member of Nigerian Bar Association and </w:t>
      </w:r>
      <w:r>
        <w:rPr>
          <w:rFonts w:ascii="Andalus" w:hAnsi="Andalus" w:cs="Andalus"/>
        </w:rPr>
        <w:t xml:space="preserve">also member of </w:t>
      </w:r>
      <w:r w:rsidR="00F17C5F" w:rsidRPr="00B86A3A">
        <w:rPr>
          <w:rFonts w:ascii="Andalus" w:hAnsi="Andalus" w:cs="Andalus"/>
        </w:rPr>
        <w:t xml:space="preserve">Chattered Institute of Arbitrators of Nigeria. He is an international human right lawyer with interest in youth rights, open government and prison reforms. In 2014, he secured the right of prisoners in Nigeria to vote. His email address is </w:t>
      </w:r>
      <w:hyperlink r:id="rId1" w:history="1">
        <w:r w:rsidR="00F17C5F" w:rsidRPr="00B86A3A">
          <w:rPr>
            <w:rStyle w:val="Hyperlink"/>
            <w:rFonts w:ascii="Andalus" w:hAnsi="Andalus" w:cs="Andalus"/>
          </w:rPr>
          <w:t>kpresident@yahoo.com</w:t>
        </w:r>
      </w:hyperlink>
    </w:p>
    <w:p w:rsidR="00FA3D48" w:rsidRDefault="00F17C5F" w:rsidP="00FA3D48">
      <w:pPr>
        <w:pStyle w:val="FootnoteText"/>
        <w:numPr>
          <w:ilvl w:val="0"/>
          <w:numId w:val="1"/>
        </w:numPr>
        <w:ind w:left="-270" w:firstLine="0"/>
        <w:jc w:val="both"/>
        <w:rPr>
          <w:rFonts w:ascii="Andalus" w:eastAsia="Arial Unicode MS" w:hAnsi="Andalus" w:cs="Andalus"/>
        </w:rPr>
      </w:pPr>
      <w:r w:rsidRPr="00B86A3A">
        <w:rPr>
          <w:rFonts w:ascii="Andalus" w:eastAsia="Arial Unicode MS" w:hAnsi="Andalus" w:cs="Andalus"/>
        </w:rPr>
        <w:t xml:space="preserve">David F. Tom, LLB, LLM, Ph.D, a Professor of </w:t>
      </w:r>
      <w:r w:rsidR="00B371F8">
        <w:rPr>
          <w:rFonts w:ascii="Andalus" w:eastAsia="Arial Unicode MS" w:hAnsi="Andalus" w:cs="Andalus"/>
        </w:rPr>
        <w:t xml:space="preserve">Media </w:t>
      </w:r>
      <w:r w:rsidR="00857742">
        <w:rPr>
          <w:rFonts w:ascii="Andalus" w:eastAsia="Arial Unicode MS" w:hAnsi="Andalus" w:cs="Andalus"/>
        </w:rPr>
        <w:t>Law of</w:t>
      </w:r>
      <w:r w:rsidRPr="00B86A3A">
        <w:rPr>
          <w:rFonts w:ascii="Andalus" w:eastAsia="Arial Unicode MS" w:hAnsi="Andalus" w:cs="Andalus"/>
        </w:rPr>
        <w:t xml:space="preserve"> Delta State University, Abraka. His email address is</w:t>
      </w:r>
      <w:r w:rsidR="00CF675B">
        <w:rPr>
          <w:rFonts w:ascii="Andalus" w:eastAsia="Arial Unicode MS" w:hAnsi="Andalus" w:cs="Andalus"/>
        </w:rPr>
        <w:t xml:space="preserve"> </w:t>
      </w:r>
      <w:hyperlink r:id="rId2" w:history="1">
        <w:r w:rsidR="00975375" w:rsidRPr="00397F8B">
          <w:rPr>
            <w:rStyle w:val="Hyperlink"/>
            <w:rFonts w:ascii="Andalus" w:eastAsia="Arial Unicode MS" w:hAnsi="Andalus" w:cs="Andalus"/>
          </w:rPr>
          <w:t>dr.doftom@yahoo,com</w:t>
        </w:r>
      </w:hyperlink>
    </w:p>
    <w:p w:rsidR="00600A30" w:rsidRPr="00FA3D48" w:rsidRDefault="00F17C5F" w:rsidP="00FA3D48">
      <w:pPr>
        <w:pStyle w:val="FootnoteText"/>
        <w:ind w:left="-270"/>
        <w:jc w:val="both"/>
        <w:rPr>
          <w:rFonts w:ascii="Andalus" w:eastAsia="Arial Unicode MS" w:hAnsi="Andalus" w:cs="Andalus"/>
        </w:rPr>
      </w:pPr>
      <w:r w:rsidRPr="00B86A3A">
        <w:rPr>
          <w:rStyle w:val="FootnoteReference"/>
          <w:rFonts w:ascii="Andalus" w:eastAsia="Arial Unicode MS" w:hAnsi="Andalus" w:cs="Andalus"/>
        </w:rPr>
        <w:footnoteRef/>
      </w:r>
      <w:r w:rsidRPr="00FA3D48">
        <w:rPr>
          <w:rFonts w:ascii="Andalus" w:eastAsia="Arial Unicode MS" w:hAnsi="Andalus" w:cs="Andalus"/>
        </w:rPr>
        <w:t xml:space="preserve"> Birkinshaw, P “Freedom of information and openness: fundamental human rights?” (2006) 58</w:t>
      </w:r>
    </w:p>
    <w:p w:rsidR="00600A30" w:rsidRPr="00B86A3A" w:rsidRDefault="00F17C5F" w:rsidP="009C3F69">
      <w:pPr>
        <w:pStyle w:val="FootnoteText"/>
        <w:ind w:left="-270"/>
        <w:rPr>
          <w:rFonts w:ascii="Andalus" w:eastAsia="Arial Unicode MS" w:hAnsi="Andalus" w:cs="Andalus"/>
        </w:rPr>
      </w:pPr>
      <w:r w:rsidRPr="00B86A3A">
        <w:rPr>
          <w:rFonts w:ascii="Andalus" w:eastAsia="Arial Unicode MS" w:hAnsi="Andalus" w:cs="Andalus"/>
        </w:rPr>
        <w:t xml:space="preserve">  Administrative Law Review 182</w:t>
      </w:r>
    </w:p>
  </w:footnote>
  <w:footnote w:id="3">
    <w:p w:rsidR="00600A30" w:rsidRPr="00B86A3A" w:rsidRDefault="00F17C5F" w:rsidP="009C3F69">
      <w:pPr>
        <w:pStyle w:val="FootnoteText"/>
        <w:ind w:left="-270"/>
        <w:rPr>
          <w:rFonts w:ascii="Andalus" w:eastAsia="Arial Unicode MS" w:hAnsi="Andalus" w:cs="Andalus"/>
        </w:rPr>
      </w:pPr>
      <w:r w:rsidRPr="00B86A3A">
        <w:rPr>
          <w:rStyle w:val="FootnoteReference"/>
          <w:rFonts w:ascii="Andalus" w:eastAsia="Arial Unicode MS" w:hAnsi="Andalus" w:cs="Andalus"/>
        </w:rPr>
        <w:footnoteRef/>
      </w:r>
      <w:r w:rsidRPr="00B86A3A">
        <w:rPr>
          <w:rFonts w:ascii="Andalus" w:eastAsia="Arial Unicode MS" w:hAnsi="Andalus" w:cs="Andalus"/>
        </w:rPr>
        <w:t xml:space="preserve"> Oamen, P “The fate of human rights in a period of a state of emergency in Nigeria” (2013) 3 Nigeria National Human Rights Commission Journal 245</w:t>
      </w:r>
    </w:p>
  </w:footnote>
  <w:footnote w:id="4">
    <w:p w:rsidR="00600A30" w:rsidRPr="00B86A3A" w:rsidRDefault="00F17C5F" w:rsidP="009C3F69">
      <w:pPr>
        <w:pStyle w:val="FootnoteText"/>
        <w:ind w:left="-270"/>
        <w:rPr>
          <w:rFonts w:ascii="Andalus" w:eastAsia="Arial Unicode MS" w:hAnsi="Andalus" w:cs="Andalus"/>
        </w:rPr>
      </w:pPr>
      <w:r w:rsidRPr="00B86A3A">
        <w:rPr>
          <w:rStyle w:val="FootnoteReference"/>
          <w:rFonts w:ascii="Andalus" w:eastAsia="Arial Unicode MS" w:hAnsi="Andalus" w:cs="Andalus"/>
        </w:rPr>
        <w:footnoteRef/>
      </w:r>
      <w:r w:rsidRPr="00B86A3A">
        <w:rPr>
          <w:rFonts w:ascii="Andalus" w:eastAsia="Arial Unicode MS" w:hAnsi="Andalus" w:cs="Andalus"/>
        </w:rPr>
        <w:t xml:space="preserve"> Ajomo, M. A “The development of individual rights in Nigeria: constitutional history” in MA Ajoma and B Owasanoye  (eds), Individual rights under the 1979 (Lagos: NIALS, 1983) 1</w:t>
      </w:r>
    </w:p>
  </w:footnote>
  <w:footnote w:id="5">
    <w:p w:rsidR="00600A30" w:rsidRPr="00B86A3A" w:rsidRDefault="00F17C5F" w:rsidP="009C3F69">
      <w:pPr>
        <w:pStyle w:val="FootnoteText"/>
        <w:ind w:left="-270"/>
        <w:rPr>
          <w:rFonts w:ascii="Andalus" w:eastAsia="Arial Unicode MS" w:hAnsi="Andalus" w:cs="Andalus"/>
        </w:rPr>
      </w:pPr>
      <w:r w:rsidRPr="00B86A3A">
        <w:rPr>
          <w:rStyle w:val="FootnoteReference"/>
          <w:rFonts w:ascii="Andalus" w:hAnsi="Andalus" w:cs="Andalus"/>
        </w:rPr>
        <w:footnoteRef/>
      </w:r>
      <w:r w:rsidRPr="00B86A3A">
        <w:rPr>
          <w:rFonts w:ascii="Andalus" w:hAnsi="Andalus" w:cs="Andalus"/>
        </w:rPr>
        <w:t xml:space="preserve"> Rabiu, A “Economic, social and cultural rights in the jurisprudence of the African Commission in Human and People’s Rights </w:t>
      </w:r>
      <w:r w:rsidRPr="00B86A3A">
        <w:rPr>
          <w:rFonts w:ascii="Andalus" w:eastAsia="Arial Unicode MS" w:hAnsi="Andalus" w:cs="Andalus"/>
        </w:rPr>
        <w:t>(2013) 3 Nigeria National Human Rights Commission Journal 2</w:t>
      </w:r>
    </w:p>
  </w:footnote>
  <w:footnote w:id="6">
    <w:p w:rsidR="00600A30" w:rsidRPr="00B86A3A" w:rsidRDefault="00F17C5F" w:rsidP="009C3F69">
      <w:pPr>
        <w:pStyle w:val="FootnoteText"/>
        <w:ind w:left="-270"/>
        <w:rPr>
          <w:rFonts w:ascii="Andalus" w:hAnsi="Andalus" w:cs="Andalus"/>
        </w:rPr>
      </w:pPr>
      <w:r w:rsidRPr="00B86A3A">
        <w:rPr>
          <w:rStyle w:val="FootnoteReference"/>
          <w:rFonts w:ascii="Andalus" w:hAnsi="Andalus" w:cs="Andalus"/>
        </w:rPr>
        <w:footnoteRef/>
      </w:r>
      <w:r w:rsidRPr="00B86A3A">
        <w:rPr>
          <w:rFonts w:ascii="Andalus" w:hAnsi="Andalus" w:cs="Andalus"/>
        </w:rPr>
        <w:t xml:space="preserve"> Alston, P “U.S ratification of the covenant on economic, social and cultural rights: the need for entirely new strategy” (1990) 84 American Journal of International Law 365</w:t>
      </w:r>
    </w:p>
  </w:footnote>
  <w:footnote w:id="7">
    <w:p w:rsidR="00600A30" w:rsidRPr="00B86A3A" w:rsidRDefault="00F17C5F" w:rsidP="009C3F69">
      <w:pPr>
        <w:pStyle w:val="FootnoteText"/>
        <w:ind w:left="-270"/>
        <w:rPr>
          <w:rFonts w:ascii="Andalus" w:eastAsia="Arial Unicode MS" w:hAnsi="Andalus" w:cs="Andalus"/>
        </w:rPr>
      </w:pPr>
      <w:r w:rsidRPr="00B86A3A">
        <w:rPr>
          <w:rStyle w:val="FootnoteReference"/>
          <w:rFonts w:ascii="Andalus" w:eastAsia="Arial Unicode MS" w:hAnsi="Andalus" w:cs="Andalus"/>
        </w:rPr>
        <w:footnoteRef/>
      </w:r>
      <w:r w:rsidRPr="00B86A3A">
        <w:rPr>
          <w:rFonts w:ascii="Andalus" w:eastAsia="Arial Unicode MS" w:hAnsi="Andalus" w:cs="Andalus"/>
        </w:rPr>
        <w:t>Onyekpere, O “Democracy, human rights, dictatorship and the Nigerian Judiciary”, (1993) 3 Journal of Human Rights Law Practice 51-52</w:t>
      </w:r>
    </w:p>
  </w:footnote>
  <w:footnote w:id="8">
    <w:p w:rsidR="00600A30" w:rsidRPr="00B86A3A" w:rsidRDefault="00F17C5F" w:rsidP="009C3F69">
      <w:pPr>
        <w:pStyle w:val="FootnoteText"/>
        <w:ind w:left="-270"/>
        <w:rPr>
          <w:rFonts w:ascii="Andalus" w:hAnsi="Andalus" w:cs="Andalus"/>
        </w:rPr>
      </w:pPr>
      <w:r w:rsidRPr="00B86A3A">
        <w:rPr>
          <w:rStyle w:val="FootnoteReference"/>
          <w:rFonts w:ascii="Andalus" w:hAnsi="Andalus" w:cs="Andalus"/>
        </w:rPr>
        <w:footnoteRef/>
      </w:r>
      <w:r w:rsidRPr="00B86A3A">
        <w:rPr>
          <w:rFonts w:ascii="Andalus" w:hAnsi="Andalus" w:cs="Andalus"/>
        </w:rPr>
        <w:t xml:space="preserve"> Order 1 of Fundamental Rights Enforcement Procedure Rules (FREP)2009 </w:t>
      </w:r>
    </w:p>
  </w:footnote>
  <w:footnote w:id="9">
    <w:p w:rsidR="00600A30" w:rsidRPr="00B86A3A" w:rsidRDefault="00F17C5F" w:rsidP="009C3F69">
      <w:pPr>
        <w:pStyle w:val="FootnoteText"/>
        <w:ind w:left="-270"/>
        <w:rPr>
          <w:rFonts w:ascii="Andalus" w:hAnsi="Andalus" w:cs="Andalus"/>
        </w:rPr>
      </w:pPr>
      <w:r w:rsidRPr="00B86A3A">
        <w:rPr>
          <w:rStyle w:val="FootnoteReference"/>
          <w:rFonts w:ascii="Andalus" w:hAnsi="Andalus" w:cs="Andalus"/>
        </w:rPr>
        <w:footnoteRef/>
      </w:r>
      <w:r w:rsidRPr="00B86A3A">
        <w:rPr>
          <w:rFonts w:ascii="Andalus" w:hAnsi="Andalus" w:cs="Andalus"/>
        </w:rPr>
        <w:t xml:space="preserve"> Ogbu, O.N, Human Rights Law and Practice in Nigeria (1999) CIDJAP 31</w:t>
      </w:r>
    </w:p>
  </w:footnote>
  <w:footnote w:id="10">
    <w:p w:rsidR="00600A30" w:rsidRPr="00B86A3A" w:rsidRDefault="00F17C5F" w:rsidP="009C3F69">
      <w:pPr>
        <w:pStyle w:val="FootnoteText"/>
        <w:ind w:left="-270"/>
        <w:rPr>
          <w:rFonts w:ascii="Andalus" w:hAnsi="Andalus" w:cs="Andalus"/>
        </w:rPr>
      </w:pPr>
      <w:r w:rsidRPr="00B86A3A">
        <w:rPr>
          <w:rStyle w:val="FootnoteReference"/>
          <w:rFonts w:ascii="Andalus" w:hAnsi="Andalus" w:cs="Andalus"/>
        </w:rPr>
        <w:footnoteRef/>
      </w:r>
      <w:r w:rsidRPr="00B86A3A">
        <w:rPr>
          <w:rFonts w:ascii="Andalus" w:hAnsi="Andalus" w:cs="Andalus"/>
        </w:rPr>
        <w:t xml:space="preserve"> Falana, F, Fundamental Rights Enforcement in Nigeria (2010)6 Legal Text: Lagos</w:t>
      </w:r>
    </w:p>
  </w:footnote>
  <w:footnote w:id="11">
    <w:p w:rsidR="00600A30" w:rsidRPr="00B86A3A" w:rsidRDefault="00F17C5F" w:rsidP="009C3F69">
      <w:pPr>
        <w:pStyle w:val="FootnoteText"/>
        <w:ind w:left="-270"/>
        <w:jc w:val="both"/>
        <w:rPr>
          <w:rFonts w:ascii="Andalus" w:eastAsia="Arial Unicode MS" w:hAnsi="Andalus" w:cs="Andalus"/>
        </w:rPr>
      </w:pPr>
      <w:r w:rsidRPr="00B86A3A">
        <w:rPr>
          <w:rStyle w:val="FootnoteReference"/>
          <w:rFonts w:ascii="Andalus" w:hAnsi="Andalus" w:cs="Andalus"/>
        </w:rPr>
        <w:footnoteRef/>
      </w:r>
      <w:r w:rsidRPr="00B86A3A">
        <w:rPr>
          <w:rFonts w:ascii="Andalus" w:eastAsia="Arial Unicode MS" w:hAnsi="Andalus" w:cs="Andalus"/>
        </w:rPr>
        <w:t xml:space="preserve"> Sections 2 (4), 3(2) and 31 of the Freedom of Information Act 2011. </w:t>
      </w:r>
    </w:p>
  </w:footnote>
  <w:footnote w:id="12">
    <w:p w:rsidR="00600A30" w:rsidRPr="00B86A3A" w:rsidRDefault="00F17C5F" w:rsidP="009C3F69">
      <w:pPr>
        <w:pStyle w:val="FootnoteText"/>
        <w:ind w:left="-270"/>
        <w:rPr>
          <w:rFonts w:ascii="Andalus" w:hAnsi="Andalus" w:cs="Andalus"/>
        </w:rPr>
      </w:pPr>
      <w:r w:rsidRPr="00B86A3A">
        <w:rPr>
          <w:rStyle w:val="FootnoteReference"/>
          <w:rFonts w:ascii="Andalus" w:hAnsi="Andalus" w:cs="Andalus"/>
        </w:rPr>
        <w:footnoteRef/>
      </w:r>
      <w:r w:rsidRPr="00B86A3A">
        <w:rPr>
          <w:rFonts w:ascii="Andalus" w:hAnsi="Andalus" w:cs="Andalus"/>
        </w:rPr>
        <w:t xml:space="preserve"> Sections </w:t>
      </w:r>
      <w:r w:rsidRPr="00B86A3A">
        <w:rPr>
          <w:rFonts w:ascii="Andalus" w:eastAsia="Arial Unicode MS" w:hAnsi="Andalus" w:cs="Andalus"/>
        </w:rPr>
        <w:t xml:space="preserve">1(1)(3), </w:t>
      </w:r>
      <w:r w:rsidRPr="00B86A3A">
        <w:rPr>
          <w:rFonts w:ascii="Andalus" w:hAnsi="Andalus" w:cs="Andalus"/>
        </w:rPr>
        <w:t xml:space="preserve">2(1)(2)(3) and </w:t>
      </w:r>
      <w:r w:rsidRPr="00B86A3A">
        <w:rPr>
          <w:rFonts w:ascii="Andalus" w:eastAsia="Arial Unicode MS" w:hAnsi="Andalus" w:cs="Andalus"/>
        </w:rPr>
        <w:t>27(3) of the Freedom of Information Act 2011</w:t>
      </w:r>
    </w:p>
  </w:footnote>
  <w:footnote w:id="13">
    <w:p w:rsidR="00600A30" w:rsidRPr="00B86A3A" w:rsidRDefault="00F17C5F" w:rsidP="009C3F69">
      <w:pPr>
        <w:pStyle w:val="FootnoteText"/>
        <w:tabs>
          <w:tab w:val="left" w:pos="-270"/>
        </w:tabs>
        <w:ind w:left="-270"/>
        <w:rPr>
          <w:rFonts w:ascii="Andalus" w:eastAsia="Arial Unicode MS" w:hAnsi="Andalus" w:cs="Andalus"/>
        </w:rPr>
      </w:pPr>
      <w:r w:rsidRPr="00B86A3A">
        <w:rPr>
          <w:rStyle w:val="FootnoteReference"/>
          <w:rFonts w:ascii="Andalus" w:eastAsia="Arial Unicode MS" w:hAnsi="Andalus" w:cs="Andalus"/>
        </w:rPr>
        <w:footnoteRef/>
      </w:r>
      <w:r w:rsidRPr="00B86A3A">
        <w:rPr>
          <w:rFonts w:ascii="Andalus" w:eastAsia="Arial Unicode MS" w:hAnsi="Andalus" w:cs="Andalus"/>
        </w:rPr>
        <w:t xml:space="preserve">Murad, M “Improving Transparency through Right to Information and E- Governance: A Bangladesh Perspective” (2010) 6 Open Government Journal. Available from  </w:t>
      </w:r>
      <w:hyperlink r:id="rId3" w:history="1">
        <w:r w:rsidRPr="00B86A3A">
          <w:rPr>
            <w:rStyle w:val="Hyperlink"/>
            <w:rFonts w:ascii="Andalus" w:eastAsia="Arial Unicode MS" w:hAnsi="Andalus" w:cs="Andalus"/>
          </w:rPr>
          <w:t>www.openjournal.org/article/download/6107/4278</w:t>
        </w:r>
      </w:hyperlink>
      <w:r w:rsidRPr="00B86A3A">
        <w:rPr>
          <w:rFonts w:ascii="Andalus" w:eastAsia="Arial Unicode MS" w:hAnsi="Andalus" w:cs="Andalus"/>
        </w:rPr>
        <w:t>, (accessed 1June, 2011)</w:t>
      </w:r>
    </w:p>
  </w:footnote>
  <w:footnote w:id="14">
    <w:p w:rsidR="00600A30" w:rsidRPr="00B86A3A" w:rsidRDefault="00F17C5F" w:rsidP="009C3F69">
      <w:pPr>
        <w:pStyle w:val="FootnoteText"/>
        <w:ind w:left="-270"/>
        <w:jc w:val="both"/>
        <w:rPr>
          <w:rFonts w:ascii="Andalus" w:hAnsi="Andalus" w:cs="Andalus"/>
        </w:rPr>
      </w:pPr>
      <w:r w:rsidRPr="00B86A3A">
        <w:rPr>
          <w:rStyle w:val="FootnoteReference"/>
          <w:rFonts w:ascii="Andalus" w:hAnsi="Andalus" w:cs="Andalus"/>
        </w:rPr>
        <w:footnoteRef/>
      </w:r>
      <w:r w:rsidRPr="00B86A3A">
        <w:rPr>
          <w:rFonts w:ascii="Andalus" w:hAnsi="Andalus" w:cs="Andalus"/>
        </w:rPr>
        <w:t xml:space="preserve"> Wade H.W.R and Forsyth, C.F, Administrative  Law (1994) 847, Oxford: Clarendon</w:t>
      </w:r>
    </w:p>
  </w:footnote>
  <w:footnote w:id="15">
    <w:p w:rsidR="00600A30" w:rsidRPr="00B86A3A" w:rsidRDefault="00F17C5F" w:rsidP="009C3F69">
      <w:pPr>
        <w:pStyle w:val="FootnoteText"/>
        <w:ind w:left="-270"/>
        <w:rPr>
          <w:rFonts w:ascii="Andalus" w:hAnsi="Andalus" w:cs="Andalus"/>
        </w:rPr>
      </w:pPr>
      <w:r w:rsidRPr="00B86A3A">
        <w:rPr>
          <w:rStyle w:val="FootnoteReference"/>
          <w:rFonts w:ascii="Andalus" w:hAnsi="Andalus" w:cs="Andalus"/>
        </w:rPr>
        <w:footnoteRef/>
      </w:r>
      <w:r w:rsidRPr="00B86A3A">
        <w:rPr>
          <w:rFonts w:ascii="Andalus" w:hAnsi="Andalus" w:cs="Andalus"/>
        </w:rPr>
        <w:t>sections 11(2), 14(3), 15(4) &amp; 19(2) of Freedom of Information Act 2011</w:t>
      </w:r>
    </w:p>
  </w:footnote>
  <w:footnote w:id="16">
    <w:p w:rsidR="00600A30" w:rsidRPr="00B86A3A" w:rsidRDefault="00F17C5F" w:rsidP="009C3F69">
      <w:pPr>
        <w:pStyle w:val="FootnoteText"/>
        <w:ind w:left="-270"/>
        <w:rPr>
          <w:rFonts w:ascii="Andalus" w:eastAsia="Arial Unicode MS" w:hAnsi="Andalus" w:cs="Andalus"/>
        </w:rPr>
      </w:pPr>
      <w:r w:rsidRPr="00B86A3A">
        <w:rPr>
          <w:rStyle w:val="FootnoteReference"/>
          <w:rFonts w:ascii="Andalus" w:eastAsia="Arial Unicode MS" w:hAnsi="Andalus" w:cs="Andalus"/>
        </w:rPr>
        <w:footnoteRef/>
      </w:r>
      <w:r w:rsidRPr="00B86A3A">
        <w:rPr>
          <w:rFonts w:ascii="Andalus" w:eastAsia="Arial Unicode MS" w:hAnsi="Andalus" w:cs="Andalus"/>
        </w:rPr>
        <w:t xml:space="preserve"> Mnadu, L..N “Good Governance in Nigeria and the Right of the People to Know” in a Democracy: An Appraisal of the Nigerian Freedom of Information Act 2011” (2013) 3 Nigeria National Human Rights Commission Journal 146</w:t>
      </w:r>
    </w:p>
  </w:footnote>
  <w:footnote w:id="17">
    <w:p w:rsidR="00600A30" w:rsidRPr="00B86A3A" w:rsidRDefault="00F17C5F" w:rsidP="009C3F69">
      <w:pPr>
        <w:pStyle w:val="FootnoteText"/>
        <w:ind w:left="-270"/>
        <w:rPr>
          <w:rFonts w:ascii="Andalus" w:hAnsi="Andalus" w:cs="Andalus"/>
        </w:rPr>
      </w:pPr>
      <w:r w:rsidRPr="00B86A3A">
        <w:rPr>
          <w:rStyle w:val="FootnoteReference"/>
          <w:rFonts w:ascii="Andalus" w:hAnsi="Andalus" w:cs="Andalus"/>
        </w:rPr>
        <w:footnoteRef/>
      </w:r>
      <w:r w:rsidRPr="00B86A3A">
        <w:rPr>
          <w:rFonts w:ascii="Andalus" w:hAnsi="Andalus" w:cs="Andalus"/>
        </w:rPr>
        <w:t xml:space="preserve">McDonagh, M‘The right to information in international human rights law’ (2013)13 </w:t>
      </w:r>
      <w:r w:rsidRPr="00B86A3A">
        <w:rPr>
          <w:rFonts w:ascii="Andalus" w:hAnsi="Andalus" w:cs="Andalus"/>
          <w:iCs/>
        </w:rPr>
        <w:t>Human Rights Law Review</w:t>
      </w:r>
      <w:r w:rsidRPr="00B86A3A">
        <w:rPr>
          <w:rFonts w:ascii="Andalus" w:hAnsi="Andalus" w:cs="Andalus"/>
        </w:rPr>
        <w:t xml:space="preserve"> 26.</w:t>
      </w:r>
    </w:p>
  </w:footnote>
  <w:footnote w:id="18">
    <w:p w:rsidR="00600A30" w:rsidRPr="00B86A3A" w:rsidRDefault="00F17C5F" w:rsidP="009C3F69">
      <w:pPr>
        <w:pStyle w:val="FootnoteText"/>
        <w:ind w:left="-270"/>
        <w:rPr>
          <w:rFonts w:ascii="Andalus" w:hAnsi="Andalus" w:cs="Andalus"/>
        </w:rPr>
      </w:pPr>
      <w:r w:rsidRPr="00B86A3A">
        <w:rPr>
          <w:rStyle w:val="FootnoteReference"/>
          <w:rFonts w:ascii="Andalus" w:hAnsi="Andalus" w:cs="Andalus"/>
        </w:rPr>
        <w:footnoteRef/>
      </w:r>
      <w:r w:rsidRPr="00B86A3A">
        <w:rPr>
          <w:rFonts w:ascii="Andalus" w:hAnsi="Andalus" w:cs="Andalus"/>
        </w:rPr>
        <w:t>(Ibid) p.18</w:t>
      </w:r>
    </w:p>
  </w:footnote>
  <w:footnote w:id="19">
    <w:p w:rsidR="00600A30" w:rsidRPr="00B86A3A" w:rsidRDefault="00F17C5F" w:rsidP="009C3F69">
      <w:pPr>
        <w:pStyle w:val="FootnoteText"/>
        <w:ind w:left="-270"/>
        <w:rPr>
          <w:rFonts w:ascii="Andalus" w:hAnsi="Andalus" w:cs="Andalus"/>
        </w:rPr>
      </w:pPr>
      <w:r w:rsidRPr="00B86A3A">
        <w:rPr>
          <w:rStyle w:val="FootnoteReference"/>
          <w:rFonts w:ascii="Andalus" w:hAnsi="Andalus" w:cs="Andalus"/>
        </w:rPr>
        <w:footnoteRef/>
      </w:r>
      <w:r w:rsidRPr="00B86A3A">
        <w:rPr>
          <w:rFonts w:ascii="Andalus" w:hAnsi="Andalus" w:cs="Andalus"/>
        </w:rPr>
        <w:t>Tom, D.F, Nigerian Press Law, (2006), Peewee Press: Asaba,p.19. This position was rampant before the passing into law of the Freedom of Information Act 2011.</w:t>
      </w:r>
    </w:p>
  </w:footnote>
  <w:footnote w:id="20">
    <w:p w:rsidR="00600A30" w:rsidRPr="00B86A3A" w:rsidRDefault="00F17C5F" w:rsidP="009C3F69">
      <w:pPr>
        <w:pStyle w:val="FootnoteText"/>
        <w:ind w:left="-270"/>
        <w:rPr>
          <w:rFonts w:ascii="Andalus" w:eastAsia="Arial Unicode MS" w:hAnsi="Andalus" w:cs="Andalus"/>
        </w:rPr>
      </w:pPr>
      <w:r w:rsidRPr="00B86A3A">
        <w:rPr>
          <w:rStyle w:val="FootnoteReference"/>
          <w:rFonts w:ascii="Andalus" w:hAnsi="Andalus" w:cs="Andalus"/>
        </w:rPr>
        <w:footnoteRef/>
      </w:r>
      <w:r w:rsidRPr="00B86A3A">
        <w:rPr>
          <w:rFonts w:ascii="Andalus" w:eastAsia="Calibri" w:hAnsi="Andalus" w:cs="Andalus"/>
        </w:rPr>
        <w:t xml:space="preserve">Mason, A ‘The relationship between freedom of expression and freedom of information’, in: J Beatson and Y Cripps (eds.), </w:t>
      </w:r>
      <w:r w:rsidRPr="00B86A3A">
        <w:rPr>
          <w:rFonts w:ascii="Andalus" w:eastAsia="Calibri" w:hAnsi="Andalus" w:cs="Andalus"/>
          <w:iCs/>
        </w:rPr>
        <w:t>Freedom of expression and freedom of information</w:t>
      </w:r>
      <w:r w:rsidRPr="00B86A3A">
        <w:rPr>
          <w:rFonts w:ascii="Andalus" w:eastAsia="Calibri" w:hAnsi="Andalus" w:cs="Andalus"/>
        </w:rPr>
        <w:t xml:space="preserve"> (2000) </w:t>
      </w:r>
      <w:r w:rsidRPr="00B86A3A">
        <w:rPr>
          <w:rFonts w:ascii="Andalus" w:hAnsi="Andalus" w:cs="Andalus"/>
        </w:rPr>
        <w:t xml:space="preserve">225; Scanlon, T.M “Freedom of expression and categories of expression” (1978-79) 40 U. Pittsburg Law Review 519; Voorhoof, H.W “Access to state-held information as a fundamental right under the european convention on human rights” (2007) 31 European Constitutional Law Review 119; Robert, A “Structural pluralism and the right to information” (2000) University of Toronto Law Journal; Balkin , J.M “Digital speech and democratic culture: a theory of freedom of expression for the information society”, New York University Law Review 2004; </w:t>
      </w:r>
      <w:r w:rsidRPr="00B86A3A">
        <w:rPr>
          <w:rFonts w:ascii="Andalus" w:eastAsia="Arial Unicode MS" w:hAnsi="Andalus" w:cs="Andalus"/>
        </w:rPr>
        <w:t xml:space="preserve">P </w:t>
      </w:r>
      <w:r w:rsidRPr="00B86A3A">
        <w:rPr>
          <w:rFonts w:ascii="Andalus" w:hAnsi="Andalus" w:cs="Andalus"/>
        </w:rPr>
        <w:t xml:space="preserve">Birkinshaw Freedom of information: law, practice and ideal, (2010) </w:t>
      </w:r>
      <w:r w:rsidRPr="00B86A3A">
        <w:rPr>
          <w:rFonts w:ascii="Andalus" w:eastAsia="Arial Unicode MS" w:hAnsi="Andalus" w:cs="Andalus"/>
        </w:rPr>
        <w:t xml:space="preserve">182; </w:t>
      </w:r>
      <w:r w:rsidRPr="00B86A3A">
        <w:rPr>
          <w:rFonts w:ascii="Andalus" w:hAnsi="Andalus" w:cs="Andalus"/>
        </w:rPr>
        <w:t xml:space="preserve">Mendel, T “Freedom of Information as an internationally protected human right” (Article 19) 2 </w:t>
      </w:r>
      <w:hyperlink r:id="rId4" w:history="1">
        <w:r w:rsidRPr="00B86A3A">
          <w:rPr>
            <w:rStyle w:val="Hyperlink"/>
            <w:rFonts w:ascii="Andalus" w:hAnsi="Andalus" w:cs="Andalus"/>
          </w:rPr>
          <w:t>http://www.article19.org/data/files/pdfs/publications/foi-as-an-international-right.pdf</w:t>
        </w:r>
      </w:hyperlink>
    </w:p>
  </w:footnote>
  <w:footnote w:id="21">
    <w:p w:rsidR="00600A30" w:rsidRPr="00B86A3A" w:rsidRDefault="00F17C5F" w:rsidP="009C3F69">
      <w:pPr>
        <w:autoSpaceDE w:val="0"/>
        <w:autoSpaceDN w:val="0"/>
        <w:adjustRightInd w:val="0"/>
        <w:spacing w:after="0" w:line="240" w:lineRule="auto"/>
        <w:ind w:left="-270"/>
        <w:rPr>
          <w:rFonts w:ascii="Andalus" w:hAnsi="Andalus" w:cs="Andalus"/>
          <w:sz w:val="20"/>
          <w:szCs w:val="20"/>
        </w:rPr>
      </w:pPr>
      <w:r w:rsidRPr="00B86A3A">
        <w:rPr>
          <w:rStyle w:val="FootnoteReference"/>
          <w:rFonts w:ascii="Andalus" w:eastAsia="Arial Unicode MS" w:hAnsi="Andalus" w:cs="Andalus"/>
          <w:sz w:val="20"/>
          <w:szCs w:val="20"/>
        </w:rPr>
        <w:footnoteRef/>
      </w:r>
      <w:r w:rsidRPr="00B86A3A">
        <w:rPr>
          <w:rFonts w:ascii="Andalus" w:eastAsia="Arial Unicode MS" w:hAnsi="Andalus" w:cs="Andalus"/>
          <w:sz w:val="20"/>
          <w:szCs w:val="20"/>
        </w:rPr>
        <w:t xml:space="preserve"> Article 10 of the Human Rights Convention scheduled to the Human Rights Act of UK of 1998; Article 19 of the International Covenant on Civil and Political Rights (ICCPR)</w:t>
      </w:r>
      <w:r w:rsidRPr="00B86A3A">
        <w:rPr>
          <w:rFonts w:ascii="Andalus" w:hAnsi="Andalus" w:cs="Andalus"/>
          <w:sz w:val="20"/>
          <w:szCs w:val="20"/>
        </w:rPr>
        <w:t>adopted 16 December 1966, 999 UNTS 171;</w:t>
      </w:r>
    </w:p>
    <w:p w:rsidR="00600A30" w:rsidRPr="00B86A3A" w:rsidRDefault="00F17C5F" w:rsidP="009C3F69">
      <w:pPr>
        <w:autoSpaceDE w:val="0"/>
        <w:autoSpaceDN w:val="0"/>
        <w:adjustRightInd w:val="0"/>
        <w:spacing w:after="0" w:line="240" w:lineRule="auto"/>
        <w:ind w:left="-270"/>
        <w:rPr>
          <w:rFonts w:ascii="Andalus" w:eastAsia="Arial Unicode MS" w:hAnsi="Andalus" w:cs="Andalus"/>
          <w:sz w:val="20"/>
          <w:szCs w:val="20"/>
        </w:rPr>
      </w:pPr>
      <w:r w:rsidRPr="00B86A3A">
        <w:rPr>
          <w:rFonts w:ascii="Andalus" w:eastAsia="Arial Unicode MS" w:hAnsi="Andalus" w:cs="Andalus"/>
          <w:sz w:val="20"/>
          <w:szCs w:val="20"/>
        </w:rPr>
        <w:t>Article 19 of the </w:t>
      </w:r>
      <w:hyperlink r:id="rId5" w:tgtFrame="_blank" w:history="1">
        <w:r w:rsidRPr="00B86A3A">
          <w:rPr>
            <w:rFonts w:ascii="Andalus" w:eastAsia="Arial Unicode MS" w:hAnsi="Andalus" w:cs="Andalus"/>
            <w:color w:val="000000"/>
            <w:sz w:val="20"/>
            <w:szCs w:val="20"/>
          </w:rPr>
          <w:t>Universal Declaration of Human Rights</w:t>
        </w:r>
      </w:hyperlink>
      <w:r w:rsidRPr="00B86A3A">
        <w:rPr>
          <w:rFonts w:ascii="Andalus" w:hAnsi="Andalus" w:cs="Andalus"/>
          <w:sz w:val="20"/>
          <w:szCs w:val="20"/>
        </w:rPr>
        <w:t>Resolution 217 A (III) on 10 December 1948, UN doc. A/810 at 71</w:t>
      </w:r>
      <w:r w:rsidRPr="00B86A3A">
        <w:rPr>
          <w:rFonts w:ascii="Andalus" w:eastAsia="Arial Unicode MS" w:hAnsi="Andalus" w:cs="Andalus"/>
          <w:sz w:val="20"/>
          <w:szCs w:val="20"/>
        </w:rPr>
        <w:t>; Article 9 of African Charter on Human and Peoples’ Right of 1981.</w:t>
      </w:r>
    </w:p>
  </w:footnote>
  <w:footnote w:id="22">
    <w:p w:rsidR="00600A30" w:rsidRPr="00B86A3A" w:rsidRDefault="00F17C5F" w:rsidP="009C3F69">
      <w:pPr>
        <w:pStyle w:val="ListParagraph1"/>
        <w:autoSpaceDE w:val="0"/>
        <w:autoSpaceDN w:val="0"/>
        <w:adjustRightInd w:val="0"/>
        <w:spacing w:after="0" w:line="240" w:lineRule="auto"/>
        <w:ind w:left="-270"/>
        <w:jc w:val="both"/>
        <w:rPr>
          <w:rFonts w:ascii="Andalus" w:eastAsia="Arial Unicode MS" w:hAnsi="Andalus" w:cs="Andalus"/>
          <w:sz w:val="20"/>
          <w:szCs w:val="20"/>
        </w:rPr>
      </w:pPr>
      <w:r w:rsidRPr="00B86A3A">
        <w:rPr>
          <w:rStyle w:val="FootnoteReference"/>
          <w:rFonts w:ascii="Andalus" w:eastAsia="Arial Unicode MS" w:hAnsi="Andalus" w:cs="Andalus"/>
          <w:sz w:val="20"/>
          <w:szCs w:val="20"/>
        </w:rPr>
        <w:footnoteRef/>
      </w:r>
      <w:r w:rsidRPr="00B86A3A">
        <w:rPr>
          <w:rFonts w:ascii="Andalus" w:eastAsia="Arial Unicode MS" w:hAnsi="Andalus" w:cs="Andalus"/>
          <w:iCs/>
          <w:sz w:val="20"/>
          <w:szCs w:val="20"/>
        </w:rPr>
        <w:t>Inter-American Declaration of Principles on Freedom of Expression</w:t>
      </w:r>
      <w:r w:rsidRPr="00B86A3A">
        <w:rPr>
          <w:rFonts w:ascii="Andalus" w:eastAsia="Arial Unicode MS" w:hAnsi="Andalus" w:cs="Andalus"/>
          <w:sz w:val="20"/>
          <w:szCs w:val="20"/>
        </w:rPr>
        <w:t>, adopted at the UN Commission’s 108</w:t>
      </w:r>
      <w:r w:rsidRPr="00B86A3A">
        <w:rPr>
          <w:rFonts w:ascii="Andalus" w:eastAsia="Arial Unicode MS" w:hAnsi="Andalus" w:cs="Andalus"/>
          <w:sz w:val="20"/>
          <w:szCs w:val="20"/>
          <w:vertAlign w:val="superscript"/>
        </w:rPr>
        <w:t>th</w:t>
      </w:r>
      <w:r w:rsidRPr="00B86A3A">
        <w:rPr>
          <w:rFonts w:ascii="Andalus" w:eastAsia="Arial Unicode MS" w:hAnsi="Andalus" w:cs="Andalus"/>
          <w:sz w:val="20"/>
          <w:szCs w:val="20"/>
        </w:rPr>
        <w:t xml:space="preserve"> regular session, October 19, 2000. </w:t>
      </w:r>
    </w:p>
  </w:footnote>
  <w:footnote w:id="23">
    <w:p w:rsidR="00600A30" w:rsidRPr="00B86A3A" w:rsidRDefault="00F17C5F" w:rsidP="009C3F69">
      <w:pPr>
        <w:pStyle w:val="ListParagraph1"/>
        <w:autoSpaceDE w:val="0"/>
        <w:autoSpaceDN w:val="0"/>
        <w:adjustRightInd w:val="0"/>
        <w:spacing w:after="0" w:line="240" w:lineRule="auto"/>
        <w:ind w:left="-270"/>
        <w:jc w:val="both"/>
        <w:rPr>
          <w:rFonts w:ascii="Andalus" w:hAnsi="Andalus" w:cs="Andalus"/>
          <w:sz w:val="20"/>
          <w:szCs w:val="20"/>
        </w:rPr>
      </w:pPr>
      <w:r w:rsidRPr="00B86A3A">
        <w:rPr>
          <w:rStyle w:val="FootnoteReference"/>
          <w:rFonts w:ascii="Andalus" w:hAnsi="Andalus" w:cs="Andalus"/>
          <w:sz w:val="20"/>
          <w:szCs w:val="20"/>
        </w:rPr>
        <w:footnoteRef/>
      </w:r>
      <w:r w:rsidRPr="00B86A3A">
        <w:rPr>
          <w:rFonts w:ascii="Andalus" w:hAnsi="Andalus" w:cs="Andalus"/>
          <w:sz w:val="20"/>
          <w:szCs w:val="20"/>
        </w:rPr>
        <w:t xml:space="preserve">UN Human Rights Committee, General Comment No. 34, Article 19: Freedoms of opinion and expression, 12 September 2011, UN doc. CCPR/C/GC/34, reproduced at the official web page of the Office of the UN High Commissioner for Human Rights and available at: </w:t>
      </w:r>
      <w:hyperlink r:id="rId6" w:history="1">
        <w:r w:rsidRPr="00B86A3A">
          <w:rPr>
            <w:rStyle w:val="Hyperlink"/>
            <w:rFonts w:ascii="Andalus" w:hAnsi="Andalus" w:cs="Andalus"/>
            <w:sz w:val="20"/>
            <w:szCs w:val="20"/>
          </w:rPr>
          <w:t>http://www2.ohchr.org/english/bodies/hrc/docs/gc34.pdf</w:t>
        </w:r>
      </w:hyperlink>
      <w:r w:rsidRPr="00B86A3A">
        <w:rPr>
          <w:rFonts w:ascii="Andalus" w:hAnsi="Andalus" w:cs="Andalus"/>
          <w:sz w:val="20"/>
          <w:szCs w:val="20"/>
        </w:rPr>
        <w:t>.</w:t>
      </w:r>
    </w:p>
  </w:footnote>
  <w:footnote w:id="24">
    <w:p w:rsidR="00600A30" w:rsidRPr="00B86A3A" w:rsidRDefault="00F17C5F" w:rsidP="009C3F69">
      <w:pPr>
        <w:pStyle w:val="ListParagraph1"/>
        <w:autoSpaceDE w:val="0"/>
        <w:autoSpaceDN w:val="0"/>
        <w:adjustRightInd w:val="0"/>
        <w:spacing w:after="0" w:line="240" w:lineRule="auto"/>
        <w:ind w:left="-270"/>
        <w:jc w:val="both"/>
        <w:rPr>
          <w:rFonts w:ascii="Andalus" w:hAnsi="Andalus" w:cs="Andalus"/>
          <w:sz w:val="20"/>
          <w:szCs w:val="20"/>
        </w:rPr>
      </w:pPr>
      <w:r w:rsidRPr="00B86A3A">
        <w:rPr>
          <w:rStyle w:val="FootnoteReference"/>
          <w:rFonts w:ascii="Andalus" w:hAnsi="Andalus" w:cs="Andalus"/>
          <w:sz w:val="20"/>
          <w:szCs w:val="20"/>
        </w:rPr>
        <w:footnoteRef/>
      </w:r>
      <w:r w:rsidRPr="00B86A3A">
        <w:rPr>
          <w:rFonts w:ascii="Andalus" w:hAnsi="Andalus" w:cs="Andalus"/>
          <w:sz w:val="20"/>
          <w:szCs w:val="20"/>
        </w:rPr>
        <w:t xml:space="preserve"> Commonwealth Functional Co-operation, para. 20 in Commonwealth Heads of Government Meeting Communiqué, Doc. 99/68, 15 November 1999</w:t>
      </w:r>
    </w:p>
  </w:footnote>
  <w:footnote w:id="25">
    <w:p w:rsidR="00600A30" w:rsidRPr="00B86A3A" w:rsidRDefault="00F17C5F" w:rsidP="009C3F69">
      <w:pPr>
        <w:spacing w:after="0" w:line="240" w:lineRule="auto"/>
        <w:ind w:left="-270"/>
        <w:rPr>
          <w:rFonts w:ascii="Andalus" w:hAnsi="Andalus" w:cs="Andalus"/>
          <w:sz w:val="20"/>
          <w:szCs w:val="20"/>
        </w:rPr>
      </w:pPr>
      <w:r w:rsidRPr="00B86A3A">
        <w:rPr>
          <w:rStyle w:val="FootnoteReference"/>
          <w:rFonts w:ascii="Andalus" w:hAnsi="Andalus" w:cs="Andalus"/>
          <w:sz w:val="20"/>
          <w:szCs w:val="20"/>
        </w:rPr>
        <w:footnoteRef/>
      </w:r>
      <w:r w:rsidRPr="00B86A3A">
        <w:rPr>
          <w:rFonts w:ascii="Andalus" w:hAnsi="Andalus" w:cs="Andalus"/>
          <w:sz w:val="20"/>
          <w:szCs w:val="20"/>
        </w:rPr>
        <w:t>Riekkinen, M andSuksi, M Access to information and documents as a human Right (2015) 46, Åbo Akademi University.</w:t>
      </w:r>
    </w:p>
  </w:footnote>
  <w:footnote w:id="26">
    <w:p w:rsidR="00600A30" w:rsidRPr="00B86A3A" w:rsidRDefault="00F17C5F" w:rsidP="009C3F69">
      <w:pPr>
        <w:autoSpaceDE w:val="0"/>
        <w:autoSpaceDN w:val="0"/>
        <w:adjustRightInd w:val="0"/>
        <w:spacing w:after="0" w:line="240" w:lineRule="auto"/>
        <w:ind w:left="-270"/>
        <w:rPr>
          <w:rFonts w:ascii="Andalus" w:hAnsi="Andalus" w:cs="Andalus"/>
          <w:sz w:val="20"/>
          <w:szCs w:val="20"/>
        </w:rPr>
      </w:pPr>
      <w:r w:rsidRPr="00B86A3A">
        <w:rPr>
          <w:rStyle w:val="FootnoteReference"/>
          <w:rFonts w:ascii="Andalus" w:hAnsi="Andalus" w:cs="Andalus"/>
          <w:sz w:val="20"/>
          <w:szCs w:val="20"/>
        </w:rPr>
        <w:footnoteRef/>
      </w:r>
      <w:r w:rsidRPr="00B86A3A">
        <w:rPr>
          <w:rFonts w:ascii="Andalus" w:hAnsi="Andalus" w:cs="Andalus"/>
          <w:sz w:val="20"/>
          <w:szCs w:val="20"/>
        </w:rPr>
        <w:t xml:space="preserve"> Article 6 of UN Declaration on the Right and Responsibility of Individuals, Groups and Organs of Society to Promote and Protect Universally Recognized Human Rights and Fundamental Freedoms1998</w:t>
      </w:r>
    </w:p>
  </w:footnote>
  <w:footnote w:id="27">
    <w:p w:rsidR="00600A30" w:rsidRPr="00B86A3A" w:rsidRDefault="00F17C5F" w:rsidP="009C3F69">
      <w:pPr>
        <w:pStyle w:val="FootnoteText"/>
        <w:ind w:left="-270"/>
        <w:rPr>
          <w:rFonts w:ascii="Andalus" w:hAnsi="Andalus" w:cs="Andalus"/>
        </w:rPr>
      </w:pPr>
      <w:r w:rsidRPr="00B86A3A">
        <w:rPr>
          <w:rStyle w:val="FootnoteReference"/>
          <w:rFonts w:ascii="Andalus" w:hAnsi="Andalus" w:cs="Andalus"/>
        </w:rPr>
        <w:footnoteRef/>
      </w:r>
      <w:r w:rsidRPr="00B86A3A">
        <w:rPr>
          <w:rFonts w:ascii="Andalus" w:hAnsi="Andalus" w:cs="Andalus"/>
        </w:rPr>
        <w:t xml:space="preserve"> Article 33 of </w:t>
      </w:r>
      <w:r w:rsidRPr="00B86A3A">
        <w:rPr>
          <w:rFonts w:ascii="Andalus" w:eastAsia="Calibri" w:hAnsi="Andalus" w:cs="Andalus"/>
          <w:color w:val="000000"/>
        </w:rPr>
        <w:t>United Nations International Convention on the Protection of the Rights of All Migrant Workers and Members of their Families 1990</w:t>
      </w:r>
    </w:p>
  </w:footnote>
  <w:footnote w:id="28">
    <w:p w:rsidR="00600A30" w:rsidRPr="00B86A3A" w:rsidRDefault="00F17C5F" w:rsidP="009C3F69">
      <w:pPr>
        <w:autoSpaceDE w:val="0"/>
        <w:autoSpaceDN w:val="0"/>
        <w:adjustRightInd w:val="0"/>
        <w:spacing w:after="0" w:line="240" w:lineRule="auto"/>
        <w:ind w:left="-270"/>
        <w:rPr>
          <w:rFonts w:ascii="Andalus" w:hAnsi="Andalus" w:cs="Andalus"/>
          <w:sz w:val="20"/>
          <w:szCs w:val="20"/>
        </w:rPr>
      </w:pPr>
      <w:r w:rsidRPr="00B86A3A">
        <w:rPr>
          <w:rStyle w:val="FootnoteReference"/>
          <w:rFonts w:ascii="Andalus" w:hAnsi="Andalus" w:cs="Andalus"/>
          <w:sz w:val="20"/>
          <w:szCs w:val="20"/>
        </w:rPr>
        <w:footnoteRef/>
      </w:r>
      <w:r w:rsidRPr="00B86A3A">
        <w:rPr>
          <w:rFonts w:ascii="Andalus" w:hAnsi="Andalus" w:cs="Andalus"/>
          <w:sz w:val="20"/>
          <w:szCs w:val="20"/>
        </w:rPr>
        <w:t xml:space="preserve"> Article 13 of United Nations Framework Convention on Climate Change1994</w:t>
      </w:r>
    </w:p>
  </w:footnote>
  <w:footnote w:id="29">
    <w:p w:rsidR="00600A30" w:rsidRPr="00B86A3A" w:rsidRDefault="00F17C5F" w:rsidP="009C3F69">
      <w:pPr>
        <w:autoSpaceDE w:val="0"/>
        <w:autoSpaceDN w:val="0"/>
        <w:adjustRightInd w:val="0"/>
        <w:spacing w:after="0" w:line="240" w:lineRule="auto"/>
        <w:ind w:left="-270"/>
        <w:rPr>
          <w:rFonts w:ascii="Andalus" w:hAnsi="Andalus" w:cs="Andalus"/>
          <w:sz w:val="20"/>
          <w:szCs w:val="20"/>
        </w:rPr>
      </w:pPr>
      <w:r w:rsidRPr="00B86A3A">
        <w:rPr>
          <w:rStyle w:val="FootnoteReference"/>
          <w:rFonts w:ascii="Andalus" w:hAnsi="Andalus" w:cs="Andalus"/>
          <w:sz w:val="20"/>
          <w:szCs w:val="20"/>
        </w:rPr>
        <w:footnoteRef/>
      </w:r>
      <w:r w:rsidRPr="00B86A3A">
        <w:rPr>
          <w:rFonts w:ascii="Andalus" w:hAnsi="Andalus" w:cs="Andalus"/>
          <w:sz w:val="20"/>
          <w:szCs w:val="20"/>
        </w:rPr>
        <w:t xml:space="preserve">Article 4 of the 1998 UNECE </w:t>
      </w:r>
      <w:r w:rsidRPr="00B86A3A">
        <w:rPr>
          <w:rFonts w:ascii="Andalus" w:hAnsi="Andalus" w:cs="Andalus"/>
          <w:iCs/>
          <w:sz w:val="20"/>
          <w:szCs w:val="20"/>
        </w:rPr>
        <w:t>Convention on Access to Information, Public Participation in Decision-Making and Access to Justice in Environmental Matters</w:t>
      </w:r>
      <w:r w:rsidRPr="00B86A3A">
        <w:rPr>
          <w:rFonts w:ascii="Andalus" w:hAnsi="Andalus" w:cs="Andalus"/>
          <w:sz w:val="20"/>
          <w:szCs w:val="20"/>
        </w:rPr>
        <w:t xml:space="preserve">, most commonly known as the Arthus Convention adopted on 25 June 1998, available at: </w:t>
      </w:r>
      <w:hyperlink r:id="rId7" w:history="1">
        <w:r w:rsidRPr="00B86A3A">
          <w:rPr>
            <w:rStyle w:val="Hyperlink"/>
            <w:rFonts w:ascii="Andalus" w:hAnsi="Andalus" w:cs="Andalus"/>
            <w:sz w:val="20"/>
            <w:szCs w:val="20"/>
          </w:rPr>
          <w:t>http://www.unece.org/fileadmin/DAM/env/pp/documents/cep43e.pdf</w:t>
        </w:r>
      </w:hyperlink>
      <w:r w:rsidRPr="00B86A3A">
        <w:rPr>
          <w:rFonts w:ascii="Andalus" w:hAnsi="Andalus" w:cs="Andalus"/>
          <w:sz w:val="20"/>
          <w:szCs w:val="20"/>
        </w:rPr>
        <w:t>.</w:t>
      </w:r>
    </w:p>
  </w:footnote>
  <w:footnote w:id="30">
    <w:p w:rsidR="00600A30" w:rsidRPr="00B86A3A" w:rsidRDefault="00F17C5F" w:rsidP="009C3F69">
      <w:pPr>
        <w:autoSpaceDE w:val="0"/>
        <w:autoSpaceDN w:val="0"/>
        <w:adjustRightInd w:val="0"/>
        <w:spacing w:after="0" w:line="240" w:lineRule="auto"/>
        <w:ind w:left="-270"/>
        <w:rPr>
          <w:rFonts w:ascii="Andalus" w:hAnsi="Andalus" w:cs="Andalus"/>
          <w:sz w:val="20"/>
          <w:szCs w:val="20"/>
        </w:rPr>
      </w:pPr>
      <w:r w:rsidRPr="00B86A3A">
        <w:rPr>
          <w:rStyle w:val="FootnoteReference"/>
          <w:rFonts w:ascii="Andalus" w:hAnsi="Andalus" w:cs="Andalus"/>
          <w:sz w:val="20"/>
          <w:szCs w:val="20"/>
        </w:rPr>
        <w:footnoteRef/>
      </w:r>
      <w:r w:rsidRPr="00B86A3A">
        <w:rPr>
          <w:rFonts w:ascii="Andalus" w:hAnsi="Andalus" w:cs="Andalus"/>
          <w:sz w:val="20"/>
          <w:szCs w:val="20"/>
        </w:rPr>
        <w:t>UN Convention on the Prior Informed Consent Procedure for Certain Hazardous Chemicals and Pesticides in International Trade1998.</w:t>
      </w:r>
    </w:p>
  </w:footnote>
  <w:footnote w:id="31">
    <w:p w:rsidR="00600A30" w:rsidRPr="00B86A3A" w:rsidRDefault="00F17C5F" w:rsidP="009C3F69">
      <w:pPr>
        <w:pStyle w:val="FootnoteText"/>
        <w:ind w:left="-270"/>
        <w:rPr>
          <w:rFonts w:ascii="Andalus" w:hAnsi="Andalus" w:cs="Andalus"/>
        </w:rPr>
      </w:pPr>
      <w:r w:rsidRPr="00B86A3A">
        <w:rPr>
          <w:rStyle w:val="FootnoteReference"/>
          <w:rFonts w:ascii="Andalus" w:hAnsi="Andalus" w:cs="Andalus"/>
        </w:rPr>
        <w:footnoteRef/>
      </w:r>
      <w:r w:rsidRPr="00B86A3A">
        <w:rPr>
          <w:rFonts w:ascii="Andalus" w:hAnsi="Andalus" w:cs="Andalus"/>
        </w:rPr>
        <w:t xml:space="preserve"> Decree 22 of 1995 section 5 now National Human Rights Commission Act 46 of 2004</w:t>
      </w:r>
    </w:p>
  </w:footnote>
  <w:footnote w:id="32">
    <w:p w:rsidR="00600A30" w:rsidRPr="00B86A3A" w:rsidRDefault="00F17C5F" w:rsidP="009C3F69">
      <w:pPr>
        <w:autoSpaceDE w:val="0"/>
        <w:autoSpaceDN w:val="0"/>
        <w:adjustRightInd w:val="0"/>
        <w:spacing w:after="0" w:line="240" w:lineRule="auto"/>
        <w:ind w:left="-270"/>
        <w:rPr>
          <w:rFonts w:ascii="Andalus" w:hAnsi="Andalus" w:cs="Andalus"/>
          <w:sz w:val="20"/>
          <w:szCs w:val="20"/>
        </w:rPr>
      </w:pPr>
      <w:r w:rsidRPr="00B86A3A">
        <w:rPr>
          <w:rStyle w:val="FootnoteReference"/>
          <w:rFonts w:ascii="Andalus" w:hAnsi="Andalus" w:cs="Andalus"/>
          <w:sz w:val="20"/>
          <w:szCs w:val="20"/>
        </w:rPr>
        <w:footnoteRef/>
      </w:r>
      <w:r w:rsidRPr="00B86A3A">
        <w:rPr>
          <w:rFonts w:ascii="Andalus" w:hAnsi="Andalus" w:cs="Andalus"/>
          <w:sz w:val="20"/>
          <w:szCs w:val="20"/>
        </w:rPr>
        <w:t xml:space="preserve"> OSCE, Representative on Freedom of the Media, International Mechanisms for Promoting Freedom of Expression, Joint Declaration by the UN Special Rapporteur on Freedom of Opinion and Expression of 6 December 2004</w:t>
      </w:r>
    </w:p>
  </w:footnote>
  <w:footnote w:id="33">
    <w:p w:rsidR="00600A30" w:rsidRPr="00B86A3A" w:rsidRDefault="00F17C5F" w:rsidP="009C3F69">
      <w:pPr>
        <w:pStyle w:val="FootnoteText"/>
        <w:ind w:left="-270"/>
        <w:rPr>
          <w:rFonts w:ascii="Andalus" w:hAnsi="Andalus" w:cs="Andalus"/>
        </w:rPr>
      </w:pPr>
      <w:r w:rsidRPr="00B86A3A">
        <w:rPr>
          <w:rStyle w:val="FootnoteReference"/>
          <w:rFonts w:ascii="Andalus" w:hAnsi="Andalus" w:cs="Andalus"/>
        </w:rPr>
        <w:footnoteRef/>
      </w:r>
      <w:r w:rsidRPr="00B86A3A">
        <w:rPr>
          <w:rFonts w:ascii="Andalus" w:hAnsi="Andalus" w:cs="Andalus"/>
        </w:rPr>
        <w:t xml:space="preserve"> JFS Inv. Ltd v Brawal Line Limited (2010) 18 NWLR (pt. 1225) 495 @535 </w:t>
      </w:r>
    </w:p>
  </w:footnote>
  <w:footnote w:id="34">
    <w:p w:rsidR="00600A30" w:rsidRPr="00B86A3A" w:rsidRDefault="00F17C5F" w:rsidP="009C3F69">
      <w:pPr>
        <w:pStyle w:val="FootnoteText"/>
        <w:ind w:left="-270"/>
        <w:rPr>
          <w:rFonts w:ascii="Andalus" w:hAnsi="Andalus" w:cs="Andalus"/>
        </w:rPr>
      </w:pPr>
      <w:r w:rsidRPr="00B86A3A">
        <w:rPr>
          <w:rStyle w:val="FootnoteReference"/>
          <w:rFonts w:ascii="Andalus" w:hAnsi="Andalus" w:cs="Andalus"/>
        </w:rPr>
        <w:footnoteRef/>
      </w:r>
      <w:r w:rsidRPr="00B86A3A">
        <w:rPr>
          <w:rFonts w:ascii="Andalus" w:hAnsi="Andalus" w:cs="Andalus"/>
        </w:rPr>
        <w:t>Falana, supra  @ 5</w:t>
      </w:r>
    </w:p>
  </w:footnote>
  <w:footnote w:id="35">
    <w:p w:rsidR="00600A30" w:rsidRPr="00B86A3A" w:rsidRDefault="00F17C5F" w:rsidP="009C3F69">
      <w:pPr>
        <w:pStyle w:val="FootnoteText"/>
        <w:ind w:left="-270"/>
        <w:rPr>
          <w:rFonts w:ascii="Andalus" w:hAnsi="Andalus" w:cs="Andalus"/>
        </w:rPr>
      </w:pPr>
      <w:r w:rsidRPr="00B86A3A">
        <w:rPr>
          <w:rStyle w:val="FootnoteReference"/>
          <w:rFonts w:ascii="Andalus" w:hAnsi="Andalus" w:cs="Andalus"/>
        </w:rPr>
        <w:footnoteRef/>
      </w:r>
      <w:r w:rsidRPr="00B86A3A">
        <w:rPr>
          <w:rFonts w:ascii="Andalus" w:hAnsi="Andalus" w:cs="Andalus"/>
        </w:rPr>
        <w:t xml:space="preserve"> Constitutional Rights Project v FRN &amp; Others (1990) 7 NWLR (pt. 163) 489; Fawehinmi v Abacha (1996) 9 NWLR (pt. 475) 719; Aroflot v Air Cargo Egypt (1987) U.C.B.R 669.</w:t>
      </w:r>
    </w:p>
  </w:footnote>
  <w:footnote w:id="36">
    <w:p w:rsidR="00600A30" w:rsidRPr="00B86A3A" w:rsidRDefault="00F17C5F" w:rsidP="009C3F69">
      <w:pPr>
        <w:autoSpaceDE w:val="0"/>
        <w:autoSpaceDN w:val="0"/>
        <w:adjustRightInd w:val="0"/>
        <w:spacing w:after="0" w:line="240" w:lineRule="auto"/>
        <w:ind w:left="-270"/>
        <w:rPr>
          <w:rFonts w:ascii="Andalus" w:hAnsi="Andalus" w:cs="Andalus"/>
          <w:sz w:val="20"/>
          <w:szCs w:val="20"/>
        </w:rPr>
      </w:pPr>
      <w:r w:rsidRPr="00B86A3A">
        <w:rPr>
          <w:rStyle w:val="FootnoteReference"/>
          <w:rFonts w:ascii="Andalus" w:hAnsi="Andalus" w:cs="Andalus"/>
          <w:sz w:val="20"/>
          <w:szCs w:val="20"/>
        </w:rPr>
        <w:footnoteRef/>
      </w:r>
      <w:r w:rsidRPr="00B86A3A">
        <w:rPr>
          <w:rFonts w:ascii="Andalus" w:hAnsi="Andalus" w:cs="Andalus"/>
          <w:sz w:val="20"/>
          <w:szCs w:val="20"/>
        </w:rPr>
        <w:t xml:space="preserve"> Article 13 of United Nations Convention on the Rights of the Child, adopted 20 November 1989</w:t>
      </w:r>
    </w:p>
  </w:footnote>
  <w:footnote w:id="37">
    <w:p w:rsidR="00600A30" w:rsidRPr="00B86A3A" w:rsidRDefault="00F17C5F" w:rsidP="009C3F69">
      <w:pPr>
        <w:autoSpaceDE w:val="0"/>
        <w:autoSpaceDN w:val="0"/>
        <w:adjustRightInd w:val="0"/>
        <w:spacing w:after="0" w:line="240" w:lineRule="auto"/>
        <w:ind w:left="-270"/>
        <w:rPr>
          <w:rFonts w:ascii="Andalus" w:hAnsi="Andalus" w:cs="Andalus"/>
          <w:sz w:val="20"/>
          <w:szCs w:val="20"/>
        </w:rPr>
      </w:pPr>
      <w:r w:rsidRPr="00B86A3A">
        <w:rPr>
          <w:rStyle w:val="FootnoteReference"/>
          <w:rFonts w:ascii="Andalus" w:eastAsia="Arial Unicode MS" w:hAnsi="Andalus" w:cs="Andalus"/>
          <w:sz w:val="20"/>
          <w:szCs w:val="20"/>
        </w:rPr>
        <w:footnoteRef/>
      </w:r>
      <w:r w:rsidRPr="00B86A3A">
        <w:rPr>
          <w:rFonts w:ascii="Andalus" w:eastAsia="Arial Unicode MS" w:hAnsi="Andalus" w:cs="Andalus"/>
          <w:sz w:val="20"/>
          <w:szCs w:val="20"/>
        </w:rPr>
        <w:t>Article 16 of International Convention on Civil and Political Rights,</w:t>
      </w:r>
    </w:p>
  </w:footnote>
  <w:footnote w:id="38">
    <w:p w:rsidR="00600A30" w:rsidRPr="00B86A3A" w:rsidRDefault="00F17C5F" w:rsidP="009C3F69">
      <w:pPr>
        <w:autoSpaceDE w:val="0"/>
        <w:autoSpaceDN w:val="0"/>
        <w:adjustRightInd w:val="0"/>
        <w:spacing w:after="0" w:line="240" w:lineRule="auto"/>
        <w:ind w:left="-270"/>
        <w:rPr>
          <w:rFonts w:ascii="Andalus" w:hAnsi="Andalus" w:cs="Andalus"/>
          <w:sz w:val="20"/>
          <w:szCs w:val="20"/>
        </w:rPr>
      </w:pPr>
      <w:r w:rsidRPr="00B86A3A">
        <w:rPr>
          <w:rStyle w:val="FootnoteReference"/>
          <w:rFonts w:ascii="Andalus" w:hAnsi="Andalus" w:cs="Andalus"/>
          <w:sz w:val="20"/>
          <w:szCs w:val="20"/>
        </w:rPr>
        <w:footnoteRef/>
      </w:r>
      <w:r w:rsidRPr="00B86A3A">
        <w:rPr>
          <w:rFonts w:ascii="Andalus" w:hAnsi="Andalus" w:cs="Andalus"/>
          <w:sz w:val="20"/>
          <w:szCs w:val="20"/>
        </w:rPr>
        <w:t>Bishop, C.A,</w:t>
      </w:r>
      <w:r w:rsidRPr="00B86A3A">
        <w:rPr>
          <w:rFonts w:ascii="Andalus" w:hAnsi="Andalus" w:cs="Andalus"/>
          <w:iCs/>
          <w:sz w:val="20"/>
          <w:szCs w:val="20"/>
        </w:rPr>
        <w:t>Access to Information as a Human Right</w:t>
      </w:r>
      <w:r w:rsidRPr="00B86A3A">
        <w:rPr>
          <w:rFonts w:ascii="Andalus" w:hAnsi="Andalus" w:cs="Andalus"/>
          <w:sz w:val="20"/>
          <w:szCs w:val="20"/>
        </w:rPr>
        <w:t xml:space="preserve"> (2011) 3, LFB Scholarly Publishing: Texas, USA</w:t>
      </w:r>
    </w:p>
  </w:footnote>
  <w:footnote w:id="39">
    <w:p w:rsidR="00600A30" w:rsidRPr="00B86A3A" w:rsidRDefault="00F17C5F" w:rsidP="009C3F69">
      <w:pPr>
        <w:spacing w:after="0" w:line="240" w:lineRule="auto"/>
        <w:ind w:left="-270"/>
        <w:rPr>
          <w:rFonts w:ascii="Andalus" w:hAnsi="Andalus" w:cs="Andalus"/>
          <w:sz w:val="20"/>
          <w:szCs w:val="20"/>
        </w:rPr>
      </w:pPr>
      <w:r w:rsidRPr="00B86A3A">
        <w:rPr>
          <w:rStyle w:val="FootnoteReference"/>
          <w:rFonts w:ascii="Andalus" w:hAnsi="Andalus" w:cs="Andalus"/>
          <w:sz w:val="20"/>
          <w:szCs w:val="20"/>
        </w:rPr>
        <w:footnoteRef/>
      </w:r>
      <w:r w:rsidRPr="00B86A3A">
        <w:rPr>
          <w:rFonts w:ascii="Andalus" w:hAnsi="Andalus" w:cs="Andalus"/>
          <w:sz w:val="20"/>
          <w:szCs w:val="20"/>
        </w:rPr>
        <w:t>Riekkinen , M et al, supra @ 46</w:t>
      </w:r>
    </w:p>
  </w:footnote>
  <w:footnote w:id="40">
    <w:p w:rsidR="00600A30" w:rsidRPr="00B86A3A" w:rsidRDefault="00F17C5F" w:rsidP="009C3F69">
      <w:pPr>
        <w:autoSpaceDE w:val="0"/>
        <w:autoSpaceDN w:val="0"/>
        <w:adjustRightInd w:val="0"/>
        <w:spacing w:after="0" w:line="240" w:lineRule="auto"/>
        <w:ind w:left="-270"/>
        <w:rPr>
          <w:rFonts w:ascii="Andalus" w:hAnsi="Andalus" w:cs="Andalus"/>
          <w:sz w:val="20"/>
          <w:szCs w:val="20"/>
        </w:rPr>
      </w:pPr>
      <w:r w:rsidRPr="00B86A3A">
        <w:rPr>
          <w:rStyle w:val="FootnoteReference"/>
          <w:rFonts w:ascii="Andalus" w:hAnsi="Andalus" w:cs="Andalus"/>
          <w:sz w:val="20"/>
          <w:szCs w:val="20"/>
        </w:rPr>
        <w:footnoteRef/>
      </w:r>
      <w:r w:rsidRPr="00B86A3A">
        <w:rPr>
          <w:rFonts w:ascii="Andalus" w:eastAsia="Times New Roman,Italic" w:hAnsi="Andalus" w:cs="Andalus"/>
          <w:iCs/>
          <w:sz w:val="20"/>
          <w:szCs w:val="20"/>
        </w:rPr>
        <w:t>Article 19s Global Campaign for</w:t>
      </w:r>
      <w:r w:rsidRPr="00B86A3A">
        <w:rPr>
          <w:rFonts w:ascii="Andalus" w:hAnsi="Andalus" w:cs="Andalus"/>
          <w:iCs/>
          <w:sz w:val="20"/>
          <w:szCs w:val="20"/>
        </w:rPr>
        <w:t xml:space="preserve"> Freedom of Expression</w:t>
      </w:r>
      <w:r w:rsidRPr="00B86A3A">
        <w:rPr>
          <w:rFonts w:ascii="Andalus" w:hAnsi="Andalus" w:cs="Andalus"/>
          <w:sz w:val="20"/>
          <w:szCs w:val="20"/>
        </w:rPr>
        <w:t xml:space="preserve"> led the codification of rules governing access to official information in the face of security concerns called Johannesburg Principles of 1999. The Open Society Justice Initiative also led a similar campaign on Global Principles on National Security and the Right to Information known as Tshwane Principles of 2013.</w:t>
      </w:r>
    </w:p>
  </w:footnote>
  <w:footnote w:id="41">
    <w:p w:rsidR="00600A30" w:rsidRPr="00B86A3A" w:rsidRDefault="00F17C5F" w:rsidP="009C3F69">
      <w:pPr>
        <w:spacing w:after="0" w:line="240" w:lineRule="auto"/>
        <w:ind w:left="-270"/>
        <w:rPr>
          <w:rFonts w:ascii="Andalus" w:eastAsia="Times New Roman" w:hAnsi="Andalus" w:cs="Andalus"/>
          <w:sz w:val="20"/>
          <w:szCs w:val="20"/>
        </w:rPr>
      </w:pPr>
      <w:r w:rsidRPr="00B86A3A">
        <w:rPr>
          <w:rStyle w:val="FootnoteReference"/>
          <w:rFonts w:ascii="Andalus" w:hAnsi="Andalus" w:cs="Andalus"/>
          <w:sz w:val="20"/>
          <w:szCs w:val="20"/>
        </w:rPr>
        <w:footnoteRef/>
      </w:r>
      <w:r w:rsidRPr="00B86A3A">
        <w:rPr>
          <w:rFonts w:ascii="Andalus" w:hAnsi="Andalus" w:cs="Andalus"/>
          <w:sz w:val="20"/>
          <w:szCs w:val="20"/>
        </w:rPr>
        <w:t xml:space="preserve"> FFGGSC v EDOSACA (Suit No: B/17B/2014). </w:t>
      </w:r>
      <w:r w:rsidRPr="00B86A3A">
        <w:rPr>
          <w:rFonts w:ascii="Andalus" w:eastAsia="Times New Roman" w:hAnsi="Andalus" w:cs="Andalus"/>
          <w:sz w:val="20"/>
          <w:szCs w:val="20"/>
        </w:rPr>
        <w:t xml:space="preserve">E Yafugborhi </w:t>
      </w:r>
      <w:r w:rsidRPr="00B86A3A">
        <w:rPr>
          <w:rFonts w:ascii="Andalus" w:hAnsi="Andalus" w:cs="Andalus"/>
          <w:sz w:val="20"/>
          <w:szCs w:val="20"/>
        </w:rPr>
        <w:t>“Court orders Edo HIV/ AIDS Control Agency to declare financial statements”</w:t>
      </w:r>
      <w:r w:rsidRPr="00B86A3A">
        <w:rPr>
          <w:rFonts w:ascii="Andalus" w:eastAsia="Times New Roman" w:hAnsi="Andalus" w:cs="Andalus"/>
          <w:sz w:val="20"/>
          <w:szCs w:val="20"/>
        </w:rPr>
        <w:t xml:space="preserve"> Vanguard 2 May 2014. See more at: </w:t>
      </w:r>
      <w:hyperlink r:id="rId8" w:anchor="sthash.K1F1ux7v.dpuf" w:history="1">
        <w:r w:rsidRPr="00B86A3A">
          <w:rPr>
            <w:rStyle w:val="Hyperlink"/>
            <w:rFonts w:ascii="Andalus" w:eastAsia="Times New Roman" w:hAnsi="Andalus" w:cs="Andalus"/>
            <w:sz w:val="20"/>
            <w:szCs w:val="20"/>
          </w:rPr>
          <w:t>http://www.vanguardngr.com/2014/05/court-orders-edo-hivaids-control-agency-declare-financial-statements/#sthash.K1F1ux7v.dpuf</w:t>
        </w:r>
      </w:hyperlink>
      <w:r w:rsidRPr="00B86A3A">
        <w:rPr>
          <w:rFonts w:ascii="Andalus" w:eastAsia="Times New Roman" w:hAnsi="Andalus" w:cs="Andalus"/>
          <w:sz w:val="20"/>
          <w:szCs w:val="20"/>
        </w:rPr>
        <w:t xml:space="preserve"> (accessed on 2 May 2014).</w:t>
      </w:r>
    </w:p>
  </w:footnote>
  <w:footnote w:id="42">
    <w:p w:rsidR="00600A30" w:rsidRPr="00B86A3A" w:rsidRDefault="00F17C5F" w:rsidP="009C3F69">
      <w:pPr>
        <w:pStyle w:val="FootnoteText"/>
        <w:ind w:left="-270"/>
        <w:rPr>
          <w:rFonts w:ascii="Andalus" w:hAnsi="Andalus" w:cs="Andalus"/>
        </w:rPr>
      </w:pPr>
      <w:r w:rsidRPr="00B86A3A">
        <w:rPr>
          <w:rStyle w:val="FootnoteReference"/>
          <w:rFonts w:ascii="Andalus" w:hAnsi="Andalus" w:cs="Andalus"/>
        </w:rPr>
        <w:footnoteRef/>
      </w:r>
      <w:r w:rsidRPr="00B86A3A">
        <w:rPr>
          <w:rFonts w:ascii="Andalus" w:hAnsi="Andalus" w:cs="Andalus"/>
        </w:rPr>
        <w:t xml:space="preserve"> Constitution of Federal Republic of Nigeria (CFRN) of 1963, 1979, 1989, 1999 and 2010 (as amended)</w:t>
      </w:r>
    </w:p>
  </w:footnote>
  <w:footnote w:id="43">
    <w:p w:rsidR="00600A30" w:rsidRPr="00B86A3A" w:rsidRDefault="00F17C5F" w:rsidP="009C3F69">
      <w:pPr>
        <w:pStyle w:val="FootnoteText"/>
        <w:ind w:left="-270"/>
        <w:rPr>
          <w:rFonts w:ascii="Andalus" w:hAnsi="Andalus" w:cs="Andalus"/>
        </w:rPr>
      </w:pPr>
      <w:r w:rsidRPr="00B86A3A">
        <w:rPr>
          <w:rStyle w:val="FootnoteReference"/>
          <w:rFonts w:ascii="Andalus" w:hAnsi="Andalus" w:cs="Andalus"/>
        </w:rPr>
        <w:footnoteRef/>
      </w:r>
      <w:r w:rsidRPr="00B86A3A">
        <w:rPr>
          <w:rFonts w:ascii="Andalus" w:hAnsi="Andalus" w:cs="Andalus"/>
        </w:rPr>
        <w:t xml:space="preserve"> Para 15(d) of 3 Schedule of Part 1 of the Constitution of Federal Republic of Nigeria (CFRN) 1999</w:t>
      </w:r>
    </w:p>
  </w:footnote>
  <w:footnote w:id="44">
    <w:p w:rsidR="008212F7" w:rsidRPr="00B86A3A" w:rsidRDefault="008212F7" w:rsidP="009C3F69">
      <w:pPr>
        <w:pStyle w:val="FootnoteText"/>
        <w:ind w:left="-270"/>
        <w:rPr>
          <w:rFonts w:ascii="Andalus" w:hAnsi="Andalus" w:cs="Andalus"/>
        </w:rPr>
      </w:pPr>
      <w:r w:rsidRPr="00B86A3A">
        <w:rPr>
          <w:rStyle w:val="FootnoteReference"/>
          <w:rFonts w:ascii="Andalus" w:hAnsi="Andalus" w:cs="Andalus"/>
        </w:rPr>
        <w:footnoteRef/>
      </w:r>
      <w:r w:rsidRPr="00B86A3A">
        <w:rPr>
          <w:rFonts w:ascii="Andalus" w:hAnsi="Andalus" w:cs="Andalus"/>
        </w:rPr>
        <w:t xml:space="preserve"> Section 12 of the A</w:t>
      </w:r>
      <w:r w:rsidR="00823F9B">
        <w:rPr>
          <w:rFonts w:ascii="Andalus" w:hAnsi="Andalus" w:cs="Andalus"/>
        </w:rPr>
        <w:t>ccess to Information Act Canada of 1985</w:t>
      </w:r>
    </w:p>
  </w:footnote>
  <w:footnote w:id="45">
    <w:p w:rsidR="00DF03DC" w:rsidRPr="00B86A3A" w:rsidRDefault="00DF03DC" w:rsidP="009C3F69">
      <w:pPr>
        <w:pStyle w:val="FootnoteText"/>
        <w:ind w:left="-270"/>
        <w:rPr>
          <w:rFonts w:ascii="Andalus" w:hAnsi="Andalus" w:cs="Andalus"/>
        </w:rPr>
      </w:pPr>
      <w:r w:rsidRPr="00B86A3A">
        <w:rPr>
          <w:rStyle w:val="FootnoteReference"/>
          <w:rFonts w:ascii="Andalus" w:hAnsi="Andalus" w:cs="Andalus"/>
        </w:rPr>
        <w:footnoteRef/>
      </w:r>
      <w:r w:rsidRPr="00B86A3A">
        <w:rPr>
          <w:rFonts w:ascii="Andalus" w:hAnsi="Andalus" w:cs="Andalus"/>
        </w:rPr>
        <w:t xml:space="preserve"> Yeager v Canada [2003] 2 F.C. 110 (F.C.A.) @ 120-122</w:t>
      </w:r>
    </w:p>
  </w:footnote>
  <w:footnote w:id="46">
    <w:p w:rsidR="00600A30" w:rsidRPr="00B86A3A" w:rsidRDefault="00F17C5F" w:rsidP="009C3F69">
      <w:pPr>
        <w:pStyle w:val="FootnoteText"/>
        <w:ind w:left="-270"/>
        <w:rPr>
          <w:rFonts w:ascii="Andalus" w:hAnsi="Andalus" w:cs="Andalus"/>
        </w:rPr>
      </w:pPr>
      <w:r w:rsidRPr="00B86A3A">
        <w:rPr>
          <w:rStyle w:val="FootnoteReference"/>
          <w:rFonts w:ascii="Andalus" w:hAnsi="Andalus" w:cs="Andalus"/>
        </w:rPr>
        <w:footnoteRef/>
      </w:r>
      <w:r w:rsidRPr="00B86A3A">
        <w:rPr>
          <w:rFonts w:ascii="Andalus" w:eastAsia="Arial Unicode MS" w:hAnsi="Andalus" w:cs="Andalus"/>
        </w:rPr>
        <w:t xml:space="preserve">Section </w:t>
      </w:r>
      <w:r w:rsidRPr="00B86A3A">
        <w:rPr>
          <w:rFonts w:ascii="Andalus" w:hAnsi="Andalus" w:cs="Andalus"/>
        </w:rPr>
        <w:t>24 of Freedom of Information Act 2011</w:t>
      </w:r>
    </w:p>
  </w:footnote>
  <w:footnote w:id="47">
    <w:p w:rsidR="00600A30" w:rsidRPr="00B86A3A" w:rsidRDefault="00F17C5F" w:rsidP="009C3F69">
      <w:pPr>
        <w:pStyle w:val="FootnoteText"/>
        <w:ind w:left="-270"/>
        <w:rPr>
          <w:rFonts w:ascii="Andalus" w:eastAsia="Arial Unicode MS" w:hAnsi="Andalus" w:cs="Andalus"/>
        </w:rPr>
      </w:pPr>
      <w:r w:rsidRPr="00B86A3A">
        <w:rPr>
          <w:rStyle w:val="FootnoteReference"/>
          <w:rFonts w:ascii="Andalus" w:eastAsia="Arial Unicode MS" w:hAnsi="Andalus" w:cs="Andalus"/>
        </w:rPr>
        <w:footnoteRef/>
      </w:r>
      <w:r w:rsidRPr="00B86A3A">
        <w:rPr>
          <w:rFonts w:ascii="Andalus" w:eastAsia="Arial Unicode MS" w:hAnsi="Andalus" w:cs="Andalus"/>
        </w:rPr>
        <w:t xml:space="preserve"> section 49(1)(2) and (3) Fiscal Responsibility Act of 2007</w:t>
      </w:r>
    </w:p>
  </w:footnote>
  <w:footnote w:id="48">
    <w:p w:rsidR="00600A30" w:rsidRPr="00B86A3A" w:rsidRDefault="00F17C5F" w:rsidP="009C3F69">
      <w:pPr>
        <w:pStyle w:val="FootnoteText"/>
        <w:ind w:left="-270"/>
        <w:rPr>
          <w:rFonts w:ascii="Andalus" w:eastAsia="Arial Unicode MS" w:hAnsi="Andalus" w:cs="Andalus"/>
        </w:rPr>
      </w:pPr>
      <w:r w:rsidRPr="00B86A3A">
        <w:rPr>
          <w:rStyle w:val="FootnoteReference"/>
          <w:rFonts w:ascii="Andalus" w:eastAsia="Arial Unicode MS" w:hAnsi="Andalus" w:cs="Andalus"/>
        </w:rPr>
        <w:footnoteRef/>
      </w:r>
      <w:r w:rsidRPr="00B86A3A">
        <w:rPr>
          <w:rFonts w:ascii="Andalus" w:eastAsia="Arial Unicode MS" w:hAnsi="Andalus" w:cs="Andalus"/>
        </w:rPr>
        <w:t xml:space="preserve"> Section 48(1) Fiscal Responsibility Act of 2007</w:t>
      </w:r>
    </w:p>
  </w:footnote>
  <w:footnote w:id="49">
    <w:p w:rsidR="00600A30" w:rsidRPr="00B86A3A" w:rsidRDefault="00F17C5F" w:rsidP="009C3F69">
      <w:pPr>
        <w:pStyle w:val="NormalWeb"/>
        <w:spacing w:before="0" w:beforeAutospacing="0" w:after="0" w:afterAutospacing="0"/>
        <w:ind w:left="-270"/>
        <w:jc w:val="both"/>
        <w:rPr>
          <w:rFonts w:ascii="Andalus" w:eastAsia="Arial Unicode MS" w:hAnsi="Andalus" w:cs="Andalus"/>
          <w:sz w:val="20"/>
          <w:szCs w:val="20"/>
        </w:rPr>
      </w:pPr>
      <w:r w:rsidRPr="00B86A3A">
        <w:rPr>
          <w:rStyle w:val="FootnoteReference"/>
          <w:rFonts w:ascii="Andalus" w:eastAsia="Arial Unicode MS" w:hAnsi="Andalus" w:cs="Andalus"/>
          <w:sz w:val="20"/>
          <w:szCs w:val="20"/>
        </w:rPr>
        <w:footnoteRef/>
      </w:r>
      <w:r w:rsidRPr="00B86A3A">
        <w:rPr>
          <w:rFonts w:ascii="Andalus" w:eastAsia="Arial Unicode MS" w:hAnsi="Andalus" w:cs="Andalus"/>
          <w:sz w:val="20"/>
          <w:szCs w:val="20"/>
        </w:rPr>
        <w:t xml:space="preserve"> Section 50 Fiscal Responsibility Act of 2007</w:t>
      </w:r>
    </w:p>
  </w:footnote>
  <w:footnote w:id="50">
    <w:p w:rsidR="00600A30" w:rsidRPr="00B86A3A" w:rsidRDefault="00F17C5F" w:rsidP="009C3F69">
      <w:pPr>
        <w:pStyle w:val="FootnoteText"/>
        <w:ind w:left="-270"/>
        <w:rPr>
          <w:rFonts w:ascii="Andalus" w:hAnsi="Andalus" w:cs="Andalus"/>
        </w:rPr>
      </w:pPr>
      <w:r w:rsidRPr="00B86A3A">
        <w:rPr>
          <w:rStyle w:val="FootnoteReference"/>
          <w:rFonts w:ascii="Andalus" w:hAnsi="Andalus" w:cs="Andalus"/>
        </w:rPr>
        <w:footnoteRef/>
      </w:r>
      <w:r w:rsidRPr="00B86A3A">
        <w:rPr>
          <w:rFonts w:ascii="Andalus" w:hAnsi="Andalus" w:cs="Andalus"/>
        </w:rPr>
        <w:t xml:space="preserve"> Princewill, T“Resolving the leadership crisis: a case for social mobility” Vanguard  July 8, 2015, p.17</w:t>
      </w:r>
    </w:p>
  </w:footnote>
  <w:footnote w:id="51">
    <w:p w:rsidR="00600A30" w:rsidRPr="00B86A3A" w:rsidRDefault="00F17C5F" w:rsidP="009C3F69">
      <w:pPr>
        <w:pStyle w:val="FootnoteText"/>
        <w:ind w:left="-270"/>
        <w:rPr>
          <w:rFonts w:ascii="Andalus" w:hAnsi="Andalus" w:cs="Andalus"/>
        </w:rPr>
      </w:pPr>
      <w:r w:rsidRPr="00B86A3A">
        <w:rPr>
          <w:rStyle w:val="FootnoteReference"/>
          <w:rFonts w:ascii="Andalus" w:hAnsi="Andalus" w:cs="Andalus"/>
        </w:rPr>
        <w:footnoteRef/>
      </w:r>
      <w:r w:rsidRPr="00B86A3A">
        <w:rPr>
          <w:rFonts w:ascii="Andalus" w:hAnsi="Andalus" w:cs="Andalus"/>
        </w:rPr>
        <w:t xml:space="preserve"> Byrne, E.A Political Corruption in Ireland 1922-2010: a crooked harp? (2012) 212</w:t>
      </w:r>
    </w:p>
  </w:footnote>
  <w:footnote w:id="52">
    <w:p w:rsidR="00600A30" w:rsidRPr="00B86A3A" w:rsidRDefault="00F17C5F" w:rsidP="009C3F69">
      <w:pPr>
        <w:pStyle w:val="FootnoteText"/>
        <w:ind w:left="-270"/>
        <w:rPr>
          <w:rFonts w:ascii="Andalus" w:hAnsi="Andalus" w:cs="Andalus"/>
        </w:rPr>
      </w:pPr>
      <w:r w:rsidRPr="00B86A3A">
        <w:rPr>
          <w:rStyle w:val="FootnoteReference"/>
          <w:rFonts w:ascii="Andalus" w:hAnsi="Andalus" w:cs="Andalus"/>
        </w:rPr>
        <w:footnoteRef/>
      </w:r>
      <w:r w:rsidRPr="00B86A3A">
        <w:rPr>
          <w:rFonts w:ascii="Andalus" w:hAnsi="Andalus" w:cs="Andalus"/>
        </w:rPr>
        <w:t xml:space="preserve"> Ibid. p.171</w:t>
      </w:r>
    </w:p>
  </w:footnote>
  <w:footnote w:id="53">
    <w:p w:rsidR="00600A30" w:rsidRPr="00B86A3A" w:rsidRDefault="00F17C5F" w:rsidP="009C3F69">
      <w:pPr>
        <w:pStyle w:val="FootnoteText"/>
        <w:ind w:left="-270"/>
        <w:rPr>
          <w:rFonts w:ascii="Andalus" w:hAnsi="Andalus" w:cs="Andalus"/>
        </w:rPr>
      </w:pPr>
      <w:r w:rsidRPr="00B86A3A">
        <w:rPr>
          <w:rStyle w:val="FootnoteReference"/>
          <w:rFonts w:ascii="Andalus" w:hAnsi="Andalus" w:cs="Andalus"/>
        </w:rPr>
        <w:footnoteRef/>
      </w:r>
      <w:r w:rsidRPr="00B86A3A">
        <w:rPr>
          <w:rFonts w:ascii="Andalus" w:hAnsi="Andalus" w:cs="Andalus"/>
        </w:rPr>
        <w:t xml:space="preserve"> See Environmental Rights Action (ERA) “Ensuring Environmental sustainability and climate resilient Development within the “Change” Agenda</w:t>
      </w:r>
      <w:r w:rsidRPr="00B86A3A">
        <w:rPr>
          <w:rFonts w:ascii="Andalus" w:hAnsi="Andalus" w:cs="Andalus"/>
          <w:vanish/>
        </w:rPr>
        <w:t>ghis would have</w:t>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vanish/>
        </w:rPr>
        <w:pgNum/>
      </w:r>
      <w:r w:rsidRPr="00B86A3A">
        <w:rPr>
          <w:rFonts w:ascii="Andalus" w:hAnsi="Andalus" w:cs="Andalus"/>
        </w:rPr>
        <w:t>” Special Policy Report Brief, 5</w:t>
      </w:r>
      <w:r w:rsidRPr="00B86A3A">
        <w:rPr>
          <w:rFonts w:ascii="Andalus" w:hAnsi="Andalus" w:cs="Andalus"/>
          <w:vertAlign w:val="superscript"/>
        </w:rPr>
        <w:t>th</w:t>
      </w:r>
      <w:r w:rsidRPr="00B86A3A">
        <w:rPr>
          <w:rFonts w:ascii="Andalus" w:hAnsi="Andalus" w:cs="Andalus"/>
        </w:rPr>
        <w:t xml:space="preserve"> June, 2015, p. 7</w:t>
      </w:r>
    </w:p>
  </w:footnote>
  <w:footnote w:id="54">
    <w:p w:rsidR="00600A30" w:rsidRPr="00B86A3A" w:rsidRDefault="00F17C5F" w:rsidP="009C3F69">
      <w:pPr>
        <w:pStyle w:val="FootnoteText"/>
        <w:ind w:left="-270"/>
        <w:rPr>
          <w:rFonts w:ascii="Andalus" w:eastAsia="Arial Unicode MS" w:hAnsi="Andalus" w:cs="Andalus"/>
        </w:rPr>
      </w:pPr>
      <w:r w:rsidRPr="00B86A3A">
        <w:rPr>
          <w:rStyle w:val="FootnoteReference"/>
          <w:rFonts w:ascii="Andalus" w:eastAsia="Arial Unicode MS" w:hAnsi="Andalus" w:cs="Andalus"/>
        </w:rPr>
        <w:footnoteRef/>
      </w:r>
      <w:r w:rsidRPr="00B86A3A">
        <w:rPr>
          <w:rFonts w:ascii="Andalus" w:eastAsia="Arial Unicode MS" w:hAnsi="Andalus" w:cs="Andalus"/>
        </w:rPr>
        <w:t xml:space="preserve">Sections 2 &amp; 3 of Nigeria Extractive Industry Transparency Initiative Act of 2007 (NEITI) </w:t>
      </w:r>
    </w:p>
  </w:footnote>
  <w:footnote w:id="55">
    <w:p w:rsidR="00600A30" w:rsidRPr="00B86A3A" w:rsidRDefault="00F17C5F" w:rsidP="009C3F69">
      <w:pPr>
        <w:pStyle w:val="FootnoteText"/>
        <w:ind w:left="-270"/>
        <w:rPr>
          <w:rFonts w:ascii="Andalus" w:hAnsi="Andalus" w:cs="Andalus"/>
        </w:rPr>
      </w:pPr>
      <w:r w:rsidRPr="00B86A3A">
        <w:rPr>
          <w:rStyle w:val="FootnoteReference"/>
          <w:rFonts w:ascii="Andalus" w:hAnsi="Andalus" w:cs="Andalus"/>
        </w:rPr>
        <w:footnoteRef/>
      </w:r>
      <w:r w:rsidRPr="00B86A3A">
        <w:rPr>
          <w:rFonts w:ascii="Andalus" w:hAnsi="Andalus" w:cs="Andalus"/>
        </w:rPr>
        <w:t xml:space="preserve"> Environmental Rights Action (ERA) (Ibid) p. 7</w:t>
      </w:r>
    </w:p>
  </w:footnote>
  <w:footnote w:id="56">
    <w:p w:rsidR="00600A30" w:rsidRPr="00B86A3A" w:rsidRDefault="00F17C5F" w:rsidP="009C3F69">
      <w:pPr>
        <w:pStyle w:val="FootnoteText"/>
        <w:ind w:left="-270"/>
        <w:rPr>
          <w:rFonts w:ascii="Andalus" w:eastAsia="Arial Unicode MS" w:hAnsi="Andalus" w:cs="Andalus"/>
        </w:rPr>
      </w:pPr>
      <w:r w:rsidRPr="00B86A3A">
        <w:rPr>
          <w:rStyle w:val="FootnoteReference"/>
          <w:rFonts w:ascii="Andalus" w:eastAsia="Arial Unicode MS" w:hAnsi="Andalus" w:cs="Andalus"/>
        </w:rPr>
        <w:footnoteRef/>
      </w:r>
      <w:r w:rsidRPr="00B86A3A">
        <w:rPr>
          <w:rFonts w:ascii="Andalus" w:eastAsia="Arial Unicode MS" w:hAnsi="Andalus" w:cs="Andalus"/>
        </w:rPr>
        <w:t xml:space="preserve"> Section 16(1) (c)(d) of Public Procurement Act of 2007</w:t>
      </w:r>
    </w:p>
  </w:footnote>
  <w:footnote w:id="57">
    <w:p w:rsidR="00600A30" w:rsidRPr="00B86A3A" w:rsidRDefault="00F17C5F" w:rsidP="009C3F69">
      <w:pPr>
        <w:pStyle w:val="FootnoteText"/>
        <w:ind w:left="-270"/>
        <w:jc w:val="both"/>
        <w:rPr>
          <w:rFonts w:ascii="Andalus" w:eastAsia="Arial Unicode MS" w:hAnsi="Andalus" w:cs="Andalus"/>
        </w:rPr>
      </w:pPr>
      <w:r w:rsidRPr="00B86A3A">
        <w:rPr>
          <w:rStyle w:val="FootnoteReference"/>
          <w:rFonts w:ascii="Andalus" w:eastAsia="Arial Unicode MS" w:hAnsi="Andalus" w:cs="Andalus"/>
        </w:rPr>
        <w:footnoteRef/>
      </w:r>
      <w:r w:rsidRPr="00B86A3A">
        <w:rPr>
          <w:rFonts w:ascii="Andalus" w:eastAsia="Arial Unicode MS" w:hAnsi="Andalus" w:cs="Andalus"/>
        </w:rPr>
        <w:t>Section 2(3)(e)(i) of Freedom of Information Act 2011</w:t>
      </w:r>
    </w:p>
  </w:footnote>
  <w:footnote w:id="58">
    <w:p w:rsidR="00600A30" w:rsidRPr="00B86A3A" w:rsidRDefault="00F17C5F" w:rsidP="009C3F69">
      <w:pPr>
        <w:pStyle w:val="FootnoteText"/>
        <w:ind w:left="-270"/>
        <w:rPr>
          <w:rFonts w:ascii="Andalus" w:hAnsi="Andalus" w:cs="Andalus"/>
        </w:rPr>
      </w:pPr>
      <w:r w:rsidRPr="00B86A3A">
        <w:rPr>
          <w:rStyle w:val="FootnoteReference"/>
          <w:rFonts w:ascii="Andalus" w:hAnsi="Andalus" w:cs="Andalus"/>
        </w:rPr>
        <w:footnoteRef/>
      </w:r>
      <w:r w:rsidRPr="00B86A3A">
        <w:rPr>
          <w:rFonts w:ascii="Andalus" w:hAnsi="Andalus" w:cs="Andalus"/>
        </w:rPr>
        <w:t xml:space="preserve"> Sipos, G“Once riddled with corruption, slovakia set a new standard for transparency” </w:t>
      </w:r>
      <w:hyperlink r:id="rId9" w:history="1">
        <w:r w:rsidRPr="00B86A3A">
          <w:rPr>
            <w:rStyle w:val="Hyperlink"/>
            <w:rFonts w:ascii="Andalus" w:hAnsi="Andalus" w:cs="Andalus"/>
          </w:rPr>
          <w:t>www.opensocistyfoundations.org/topics/freedom-information?sid</w:t>
        </w:r>
      </w:hyperlink>
      <w:r w:rsidRPr="00B86A3A">
        <w:rPr>
          <w:rFonts w:ascii="Andalus" w:hAnsi="Andalus" w:cs="Andalus"/>
        </w:rPr>
        <w:t>. (Accessed 12 June 2015)</w:t>
      </w:r>
    </w:p>
  </w:footnote>
  <w:footnote w:id="59">
    <w:p w:rsidR="00600A30" w:rsidRPr="00B86A3A" w:rsidRDefault="00F17C5F" w:rsidP="009C3F69">
      <w:pPr>
        <w:autoSpaceDE w:val="0"/>
        <w:autoSpaceDN w:val="0"/>
        <w:adjustRightInd w:val="0"/>
        <w:spacing w:after="0" w:line="240" w:lineRule="auto"/>
        <w:ind w:left="-270"/>
        <w:rPr>
          <w:rFonts w:ascii="Andalus" w:hAnsi="Andalus" w:cs="Andalus"/>
          <w:sz w:val="20"/>
          <w:szCs w:val="20"/>
        </w:rPr>
      </w:pPr>
      <w:r w:rsidRPr="00B86A3A">
        <w:rPr>
          <w:rStyle w:val="FootnoteReference"/>
          <w:rFonts w:ascii="Andalus" w:hAnsi="Andalus" w:cs="Andalus"/>
          <w:sz w:val="20"/>
          <w:szCs w:val="20"/>
        </w:rPr>
        <w:footnoteRef/>
      </w:r>
      <w:r w:rsidRPr="00B86A3A">
        <w:rPr>
          <w:rFonts w:ascii="Andalus" w:hAnsi="Andalus" w:cs="Andalus"/>
          <w:sz w:val="20"/>
          <w:szCs w:val="20"/>
        </w:rPr>
        <w:t xml:space="preserve"> Article 46 of the UN Convention against Corruption (UNCAC) of 2003</w:t>
      </w:r>
    </w:p>
  </w:footnote>
  <w:footnote w:id="60">
    <w:p w:rsidR="00600A30" w:rsidRPr="00B86A3A" w:rsidRDefault="00F17C5F" w:rsidP="009C3F69">
      <w:pPr>
        <w:pStyle w:val="FootnoteText"/>
        <w:ind w:left="-270"/>
        <w:jc w:val="both"/>
        <w:rPr>
          <w:rStyle w:val="Hyperlink"/>
          <w:rFonts w:ascii="Andalus" w:eastAsia="Arial Unicode MS" w:hAnsi="Andalus" w:cs="Andalus"/>
          <w:color w:val="auto"/>
          <w:u w:val="none"/>
        </w:rPr>
      </w:pPr>
      <w:r w:rsidRPr="00B86A3A">
        <w:rPr>
          <w:rStyle w:val="FootnoteReference"/>
          <w:rFonts w:ascii="Andalus" w:eastAsia="Arial Unicode MS" w:hAnsi="Andalus" w:cs="Andalus"/>
        </w:rPr>
        <w:footnoteRef/>
      </w:r>
      <w:r w:rsidRPr="00B86A3A">
        <w:rPr>
          <w:rFonts w:ascii="Andalus" w:eastAsia="Arial Unicode MS" w:hAnsi="Andalus" w:cs="Andalus"/>
        </w:rPr>
        <w:t xml:space="preserve"> sections 27, 28 &amp; 29 National Archives Act 1992; </w:t>
      </w:r>
      <w:hyperlink r:id="rId10" w:history="1">
        <w:r w:rsidRPr="00B86A3A">
          <w:rPr>
            <w:rStyle w:val="Hyperlink"/>
            <w:rFonts w:ascii="Andalus" w:eastAsia="Arial Unicode MS" w:hAnsi="Andalus" w:cs="Andalus"/>
            <w:color w:val="auto"/>
            <w:u w:val="none"/>
          </w:rPr>
          <w:t>Abioye</w:t>
        </w:r>
      </w:hyperlink>
      <w:r w:rsidRPr="00B86A3A">
        <w:rPr>
          <w:rFonts w:ascii="Andalus" w:hAnsi="Andalus" w:cs="Andalus"/>
        </w:rPr>
        <w:t>, A</w:t>
      </w:r>
      <w:r w:rsidRPr="00B86A3A">
        <w:rPr>
          <w:rStyle w:val="Hyperlink"/>
          <w:rFonts w:ascii="Andalus" w:eastAsia="Arial Unicode MS" w:hAnsi="Andalus" w:cs="Andalus"/>
          <w:color w:val="auto"/>
          <w:u w:val="none"/>
        </w:rPr>
        <w:t xml:space="preserve"> “</w:t>
      </w:r>
      <w:r w:rsidRPr="00B86A3A">
        <w:rPr>
          <w:rFonts w:ascii="Andalus" w:eastAsia="Arial Unicode MS" w:hAnsi="Andalus" w:cs="Andalus"/>
        </w:rPr>
        <w:t xml:space="preserve">Searchers' Perception of Access Regulations in Nigerian National Archives”, </w:t>
      </w:r>
      <w:hyperlink r:id="rId11" w:history="1">
        <w:r w:rsidRPr="00B86A3A">
          <w:rPr>
            <w:rStyle w:val="Hyperlink"/>
            <w:rFonts w:ascii="Andalus" w:eastAsia="Arial Unicode MS" w:hAnsi="Andalus" w:cs="Andalus"/>
            <w:color w:val="auto"/>
            <w:u w:val="none"/>
          </w:rPr>
          <w:t>Library Philosophy and Practice (2009</w:t>
        </w:r>
      </w:hyperlink>
      <w:r w:rsidRPr="00B86A3A">
        <w:rPr>
          <w:rStyle w:val="Hyperlink"/>
          <w:rFonts w:ascii="Andalus" w:eastAsia="Arial Unicode MS" w:hAnsi="Andalus" w:cs="Andalus"/>
          <w:color w:val="auto"/>
          <w:u w:val="none"/>
        </w:rPr>
        <w:t>)</w:t>
      </w:r>
    </w:p>
    <w:p w:rsidR="00600A30" w:rsidRPr="00B86A3A" w:rsidRDefault="00CA24C3" w:rsidP="009C3F69">
      <w:pPr>
        <w:pStyle w:val="FootnoteText"/>
        <w:ind w:left="-270"/>
        <w:jc w:val="both"/>
        <w:rPr>
          <w:rFonts w:ascii="Andalus" w:eastAsia="Arial Unicode MS" w:hAnsi="Andalus" w:cs="Andalus"/>
        </w:rPr>
      </w:pPr>
      <w:hyperlink r:id="rId12" w:history="1">
        <w:r w:rsidR="00F17C5F" w:rsidRPr="00B86A3A">
          <w:rPr>
            <w:rStyle w:val="Hyperlink"/>
            <w:rFonts w:ascii="Andalus" w:eastAsia="Arial Unicode MS" w:hAnsi="Andalus" w:cs="Andalus"/>
          </w:rPr>
          <w:t>http://www.webpages.uidaho.edu/-mbolin/abioye.htm</w:t>
        </w:r>
      </w:hyperlink>
      <w:r w:rsidR="00F17C5F" w:rsidRPr="00B86A3A">
        <w:rPr>
          <w:rStyle w:val="Hyperlink"/>
          <w:rFonts w:ascii="Andalus" w:eastAsia="Arial Unicode MS" w:hAnsi="Andalus" w:cs="Andalus"/>
          <w:color w:val="auto"/>
          <w:u w:val="none"/>
        </w:rPr>
        <w:t>. (Accessed 25 December 2014)</w:t>
      </w:r>
    </w:p>
  </w:footnote>
  <w:footnote w:id="61">
    <w:p w:rsidR="00600A30" w:rsidRPr="00B86A3A" w:rsidRDefault="00F17C5F" w:rsidP="009C3F69">
      <w:pPr>
        <w:pStyle w:val="NormalWeb"/>
        <w:spacing w:before="0" w:beforeAutospacing="0" w:after="0" w:afterAutospacing="0"/>
        <w:ind w:left="-270"/>
        <w:rPr>
          <w:rFonts w:ascii="Andalus" w:eastAsia="Arial Unicode MS" w:hAnsi="Andalus" w:cs="Andalus"/>
          <w:color w:val="0000FF"/>
          <w:sz w:val="20"/>
          <w:szCs w:val="20"/>
          <w:u w:val="single"/>
        </w:rPr>
      </w:pPr>
      <w:r w:rsidRPr="00B86A3A">
        <w:rPr>
          <w:rStyle w:val="FootnoteReference"/>
          <w:rFonts w:ascii="Andalus" w:eastAsia="Arial Unicode MS" w:hAnsi="Andalus" w:cs="Andalus"/>
          <w:sz w:val="20"/>
          <w:szCs w:val="20"/>
        </w:rPr>
        <w:footnoteRef/>
      </w:r>
      <w:r w:rsidRPr="00B86A3A">
        <w:rPr>
          <w:rFonts w:ascii="Andalus" w:eastAsia="Arial Unicode MS" w:hAnsi="Andalus" w:cs="Andalus"/>
          <w:sz w:val="20"/>
          <w:szCs w:val="20"/>
        </w:rPr>
        <w:t xml:space="preserve"> Millar, L “The right to information, the right to records: the relationship between record keeping, access to information, and government accountability”, 2003</w:t>
      </w:r>
      <w:hyperlink r:id="rId13" w:history="1">
        <w:r w:rsidRPr="00B86A3A">
          <w:rPr>
            <w:rStyle w:val="Hyperlink"/>
            <w:rFonts w:ascii="Andalus" w:eastAsia="Arial Unicode MS" w:hAnsi="Andalus" w:cs="Andalus"/>
            <w:sz w:val="20"/>
            <w:szCs w:val="20"/>
          </w:rPr>
          <w:t xml:space="preserve">www.humanrightinitiative.org/programs/ai/articles/record_keeping_ai.pdf </w:t>
        </w:r>
      </w:hyperlink>
      <w:r w:rsidRPr="00B86A3A">
        <w:rPr>
          <w:rFonts w:ascii="Andalus" w:eastAsia="Arial Unicode MS" w:hAnsi="Andalus" w:cs="Andalus"/>
          <w:sz w:val="20"/>
          <w:szCs w:val="20"/>
        </w:rPr>
        <w:t>(Accessed 10 May 2014)</w:t>
      </w:r>
    </w:p>
  </w:footnote>
  <w:footnote w:id="62">
    <w:p w:rsidR="00600A30" w:rsidRPr="00B86A3A" w:rsidRDefault="00F17C5F" w:rsidP="009C3F69">
      <w:pPr>
        <w:pStyle w:val="FootnoteText"/>
        <w:ind w:left="-270"/>
        <w:rPr>
          <w:rFonts w:ascii="Andalus" w:hAnsi="Andalus" w:cs="Andalus"/>
        </w:rPr>
      </w:pPr>
      <w:r w:rsidRPr="00B86A3A">
        <w:rPr>
          <w:rStyle w:val="FootnoteReference"/>
          <w:rFonts w:ascii="Andalus" w:hAnsi="Andalus" w:cs="Andalus"/>
        </w:rPr>
        <w:footnoteRef/>
      </w:r>
      <w:r w:rsidRPr="00B86A3A">
        <w:rPr>
          <w:rFonts w:ascii="Andalus" w:hAnsi="Andalus" w:cs="Andalus"/>
        </w:rPr>
        <w:t xml:space="preserve"> Abioye, A (Ibid)</w:t>
      </w:r>
    </w:p>
  </w:footnote>
  <w:footnote w:id="63">
    <w:p w:rsidR="00600A30" w:rsidRPr="00B86A3A" w:rsidRDefault="00F17C5F" w:rsidP="009C3F69">
      <w:pPr>
        <w:pStyle w:val="NormalWeb"/>
        <w:spacing w:before="0" w:beforeAutospacing="0" w:after="0" w:afterAutospacing="0"/>
        <w:ind w:left="-270"/>
        <w:rPr>
          <w:rFonts w:ascii="Andalus" w:eastAsia="Arial Unicode MS" w:hAnsi="Andalus" w:cs="Andalus"/>
          <w:sz w:val="20"/>
          <w:szCs w:val="20"/>
        </w:rPr>
      </w:pPr>
      <w:r w:rsidRPr="00B86A3A">
        <w:rPr>
          <w:rStyle w:val="FootnoteReference"/>
          <w:rFonts w:ascii="Andalus" w:eastAsia="Arial Unicode MS" w:hAnsi="Andalus" w:cs="Andalus"/>
          <w:sz w:val="20"/>
          <w:szCs w:val="20"/>
        </w:rPr>
        <w:footnoteRef/>
      </w:r>
      <w:r w:rsidRPr="00B86A3A">
        <w:rPr>
          <w:rFonts w:ascii="Andalus" w:eastAsia="Arial Unicode MS" w:hAnsi="Andalus" w:cs="Andalus"/>
          <w:sz w:val="20"/>
          <w:szCs w:val="20"/>
        </w:rPr>
        <w:t xml:space="preserve"> Adams, M “Freedom of information and records management in Ghana” (2006) 16 </w:t>
      </w:r>
      <w:r w:rsidRPr="00B86A3A">
        <w:rPr>
          <w:rStyle w:val="Emphasis"/>
          <w:rFonts w:ascii="Andalus" w:eastAsia="Arial Unicode MS" w:hAnsi="Andalus" w:cs="Andalus"/>
          <w:b w:val="0"/>
          <w:i w:val="0"/>
          <w:sz w:val="20"/>
          <w:szCs w:val="20"/>
        </w:rPr>
        <w:t xml:space="preserve">African Journal of Library, Archives, and Information Science </w:t>
      </w:r>
      <w:r w:rsidRPr="00B86A3A">
        <w:rPr>
          <w:rFonts w:ascii="Andalus" w:eastAsia="Arial Unicode MS" w:hAnsi="Andalus" w:cs="Andalus"/>
          <w:sz w:val="20"/>
          <w:szCs w:val="20"/>
        </w:rPr>
        <w:t xml:space="preserve">31. </w:t>
      </w:r>
    </w:p>
  </w:footnote>
  <w:footnote w:id="64">
    <w:p w:rsidR="00600A30" w:rsidRPr="00B86A3A" w:rsidRDefault="00F17C5F" w:rsidP="009C3F69">
      <w:pPr>
        <w:pStyle w:val="NormalWeb"/>
        <w:spacing w:before="0" w:beforeAutospacing="0" w:after="0" w:afterAutospacing="0"/>
        <w:ind w:left="-270"/>
        <w:rPr>
          <w:rFonts w:ascii="Andalus" w:eastAsia="Arial Unicode MS" w:hAnsi="Andalus" w:cs="Andalus"/>
          <w:sz w:val="20"/>
          <w:szCs w:val="20"/>
        </w:rPr>
      </w:pPr>
      <w:r w:rsidRPr="00B86A3A">
        <w:rPr>
          <w:rStyle w:val="FootnoteReference"/>
          <w:rFonts w:ascii="Andalus" w:eastAsia="Arial Unicode MS" w:hAnsi="Andalus" w:cs="Andalus"/>
          <w:sz w:val="20"/>
          <w:szCs w:val="20"/>
        </w:rPr>
        <w:footnoteRef/>
      </w:r>
      <w:r w:rsidRPr="00B86A3A">
        <w:rPr>
          <w:rFonts w:ascii="Andalus" w:eastAsia="Arial Unicode MS" w:hAnsi="Andalus" w:cs="Andalus"/>
          <w:sz w:val="20"/>
          <w:szCs w:val="20"/>
        </w:rPr>
        <w:t xml:space="preserve">Kemoni, H.N “The utilization of archival information by researchers in Kenya: A case study of the University of Nairobi”. (2002) 12 </w:t>
      </w:r>
      <w:r w:rsidRPr="00B86A3A">
        <w:rPr>
          <w:rStyle w:val="Emphasis"/>
          <w:rFonts w:ascii="Andalus" w:eastAsia="Arial Unicode MS" w:hAnsi="Andalus" w:cs="Andalus"/>
          <w:b w:val="0"/>
          <w:i w:val="0"/>
          <w:sz w:val="20"/>
          <w:szCs w:val="20"/>
        </w:rPr>
        <w:t>African Journal of Library, Archives and Information Science</w:t>
      </w:r>
      <w:r w:rsidRPr="00B86A3A">
        <w:rPr>
          <w:rFonts w:ascii="Andalus" w:eastAsia="Arial Unicode MS" w:hAnsi="Andalus" w:cs="Andalus"/>
          <w:sz w:val="20"/>
          <w:szCs w:val="20"/>
        </w:rPr>
        <w:t xml:space="preserve"> 72</w:t>
      </w:r>
    </w:p>
  </w:footnote>
  <w:footnote w:id="65">
    <w:p w:rsidR="00600A30" w:rsidRPr="00B86A3A" w:rsidRDefault="00F17C5F" w:rsidP="009C3F69">
      <w:pPr>
        <w:pStyle w:val="FootnoteText"/>
        <w:ind w:left="-270"/>
        <w:jc w:val="both"/>
        <w:rPr>
          <w:rFonts w:ascii="Andalus" w:eastAsia="Arial Unicode MS" w:hAnsi="Andalus" w:cs="Andalus"/>
        </w:rPr>
      </w:pPr>
      <w:r w:rsidRPr="00B86A3A">
        <w:rPr>
          <w:rStyle w:val="FootnoteReference"/>
          <w:rFonts w:ascii="Andalus" w:eastAsia="Arial Unicode MS" w:hAnsi="Andalus" w:cs="Andalus"/>
        </w:rPr>
        <w:footnoteRef/>
      </w:r>
      <w:r w:rsidRPr="00B86A3A">
        <w:rPr>
          <w:rFonts w:ascii="Andalus" w:eastAsia="Arial Unicode MS" w:hAnsi="Andalus" w:cs="Andalus"/>
        </w:rPr>
        <w:t xml:space="preserve"> AG Lagos v Attorney General of Federation (2003) NWLR (Pt. 833) 320 </w:t>
      </w:r>
    </w:p>
  </w:footnote>
  <w:footnote w:id="66">
    <w:p w:rsidR="00600A30" w:rsidRPr="00B86A3A" w:rsidRDefault="00F17C5F" w:rsidP="009C3F69">
      <w:pPr>
        <w:pStyle w:val="FootnoteText"/>
        <w:ind w:left="-270"/>
        <w:rPr>
          <w:rFonts w:ascii="Andalus" w:hAnsi="Andalus" w:cs="Andalus"/>
        </w:rPr>
      </w:pPr>
      <w:r w:rsidRPr="00B86A3A">
        <w:rPr>
          <w:rStyle w:val="FootnoteReference"/>
          <w:rFonts w:ascii="Andalus" w:eastAsia="Arial Unicode MS" w:hAnsi="Andalus" w:cs="Andalus"/>
        </w:rPr>
        <w:footnoteRef/>
      </w:r>
      <w:r w:rsidRPr="00B86A3A">
        <w:rPr>
          <w:rFonts w:ascii="Andalus" w:eastAsia="Arial Unicode MS" w:hAnsi="Andalus" w:cs="Andalus"/>
        </w:rPr>
        <w:t xml:space="preserve"> UN General Assembly Resolution 59(1) of 14 December 1946</w:t>
      </w:r>
      <w:r w:rsidRPr="00B86A3A">
        <w:rPr>
          <w:rFonts w:ascii="Andalus" w:eastAsia="Calibri" w:hAnsi="Andalus" w:cs="Andalus"/>
        </w:rPr>
        <w:t>.</w:t>
      </w:r>
    </w:p>
  </w:footnote>
  <w:footnote w:id="67">
    <w:p w:rsidR="00600A30" w:rsidRPr="00B86A3A" w:rsidRDefault="00F17C5F" w:rsidP="009C3F69">
      <w:pPr>
        <w:autoSpaceDE w:val="0"/>
        <w:autoSpaceDN w:val="0"/>
        <w:adjustRightInd w:val="0"/>
        <w:spacing w:after="0" w:line="240" w:lineRule="auto"/>
        <w:ind w:left="-270"/>
        <w:rPr>
          <w:rFonts w:ascii="Andalus" w:hAnsi="Andalus" w:cs="Andalus"/>
          <w:sz w:val="20"/>
          <w:szCs w:val="20"/>
        </w:rPr>
      </w:pPr>
      <w:r w:rsidRPr="00B86A3A">
        <w:rPr>
          <w:rStyle w:val="FootnoteReference"/>
          <w:rFonts w:ascii="Andalus" w:hAnsi="Andalus" w:cs="Andalus"/>
          <w:sz w:val="20"/>
          <w:szCs w:val="20"/>
        </w:rPr>
        <w:footnoteRef/>
      </w:r>
      <w:r w:rsidRPr="00B86A3A">
        <w:rPr>
          <w:rFonts w:ascii="Andalus" w:hAnsi="Andalus" w:cs="Andalus"/>
          <w:sz w:val="20"/>
          <w:szCs w:val="20"/>
        </w:rPr>
        <w:t>See Convention on the Elimination of All Forms of Discrimination against Women of 1979; Article 21 of the UN Convention on the Rights of Persons with Disabilities of 2006</w:t>
      </w:r>
    </w:p>
  </w:footnote>
  <w:footnote w:id="68">
    <w:p w:rsidR="00600A30" w:rsidRPr="00B86A3A" w:rsidRDefault="00F17C5F" w:rsidP="009C3F69">
      <w:pPr>
        <w:pStyle w:val="FootnoteText"/>
        <w:ind w:left="-270"/>
        <w:rPr>
          <w:rFonts w:ascii="Andalus" w:hAnsi="Andalus" w:cs="Andalus"/>
        </w:rPr>
      </w:pPr>
      <w:r w:rsidRPr="00B86A3A">
        <w:rPr>
          <w:rStyle w:val="FootnoteReference"/>
          <w:rFonts w:ascii="Andalus" w:hAnsi="Andalus" w:cs="Andalus"/>
        </w:rPr>
        <w:footnoteRef/>
      </w:r>
      <w:r w:rsidRPr="00B86A3A">
        <w:rPr>
          <w:rFonts w:ascii="Andalus" w:hAnsi="Andalus" w:cs="Andalus"/>
        </w:rPr>
        <w:t xml:space="preserve"> Sipos,G (Ibid) p.47</w:t>
      </w:r>
    </w:p>
  </w:footnote>
  <w:footnote w:id="69">
    <w:p w:rsidR="00600A30" w:rsidRPr="00B86A3A" w:rsidRDefault="00F17C5F" w:rsidP="009C3F69">
      <w:pPr>
        <w:autoSpaceDE w:val="0"/>
        <w:autoSpaceDN w:val="0"/>
        <w:adjustRightInd w:val="0"/>
        <w:spacing w:after="0" w:line="240" w:lineRule="auto"/>
        <w:ind w:left="-270"/>
        <w:rPr>
          <w:rFonts w:ascii="Andalus" w:hAnsi="Andalus" w:cs="Andalus"/>
          <w:sz w:val="20"/>
          <w:szCs w:val="20"/>
        </w:rPr>
      </w:pPr>
      <w:r w:rsidRPr="00B86A3A">
        <w:rPr>
          <w:rStyle w:val="FootnoteReference"/>
          <w:rFonts w:ascii="Andalus" w:hAnsi="Andalus" w:cs="Andalus"/>
          <w:sz w:val="20"/>
          <w:szCs w:val="20"/>
        </w:rPr>
        <w:footnoteRef/>
      </w:r>
      <w:r w:rsidRPr="00B86A3A">
        <w:rPr>
          <w:rFonts w:ascii="Andalus" w:hAnsi="Andalus" w:cs="Andalus"/>
          <w:sz w:val="20"/>
          <w:szCs w:val="20"/>
        </w:rPr>
        <w:t>Birkinshaw, P (Ibid) p.28</w:t>
      </w:r>
    </w:p>
  </w:footnote>
  <w:footnote w:id="70">
    <w:p w:rsidR="00600A30" w:rsidRPr="00B86A3A" w:rsidRDefault="00F17C5F" w:rsidP="009C3F69">
      <w:pPr>
        <w:pStyle w:val="FootnoteText"/>
        <w:ind w:left="-270"/>
        <w:rPr>
          <w:rFonts w:ascii="Andalus" w:eastAsia="Arial Unicode MS" w:hAnsi="Andalus" w:cs="Andalus"/>
        </w:rPr>
      </w:pPr>
      <w:r w:rsidRPr="00B86A3A">
        <w:rPr>
          <w:rStyle w:val="FootnoteReference"/>
          <w:rFonts w:ascii="Andalus" w:eastAsia="Arial Unicode MS" w:hAnsi="Andalus" w:cs="Andalus"/>
        </w:rPr>
        <w:footnoteRef/>
      </w:r>
      <w:r w:rsidRPr="00B86A3A">
        <w:rPr>
          <w:rFonts w:ascii="Andalus" w:eastAsia="Arial Unicode MS" w:hAnsi="Andalus" w:cs="Andalus"/>
        </w:rPr>
        <w:t xml:space="preserve"> Udombana, N.J “Human rights protection and good governance in Nigeria” (2011)2 Justice Journal 39</w:t>
      </w:r>
    </w:p>
  </w:footnote>
  <w:footnote w:id="71">
    <w:p w:rsidR="00600A30" w:rsidRPr="00B86A3A" w:rsidRDefault="00F17C5F" w:rsidP="009C3F69">
      <w:pPr>
        <w:pStyle w:val="FootnoteText"/>
        <w:ind w:left="-270"/>
        <w:rPr>
          <w:rFonts w:ascii="Andalus" w:eastAsia="Arial Unicode MS" w:hAnsi="Andalus" w:cs="Andalus"/>
        </w:rPr>
      </w:pPr>
      <w:r w:rsidRPr="00B86A3A">
        <w:rPr>
          <w:rStyle w:val="FootnoteReference"/>
          <w:rFonts w:ascii="Andalus" w:eastAsia="Arial Unicode MS" w:hAnsi="Andalus" w:cs="Andalus"/>
        </w:rPr>
        <w:footnoteRef/>
      </w:r>
      <w:r w:rsidRPr="00B86A3A">
        <w:rPr>
          <w:rFonts w:ascii="Andalus" w:eastAsia="Arial Unicode MS" w:hAnsi="Andalus" w:cs="Andalus"/>
        </w:rPr>
        <w:t>Dakas, C.J “The implementation of the african charter on human and people’s rights in Nigeria,” (1989-1990)3 University of Jos Law Journal 39</w:t>
      </w:r>
    </w:p>
  </w:footnote>
  <w:footnote w:id="72">
    <w:p w:rsidR="00600A30" w:rsidRPr="00B86A3A" w:rsidRDefault="00F17C5F" w:rsidP="009C3F69">
      <w:pPr>
        <w:pStyle w:val="ListParagraph1"/>
        <w:spacing w:after="0" w:line="240" w:lineRule="auto"/>
        <w:ind w:left="-270"/>
        <w:jc w:val="both"/>
        <w:rPr>
          <w:rFonts w:ascii="Andalus" w:eastAsia="Arial Unicode MS" w:hAnsi="Andalus" w:cs="Andalus"/>
          <w:sz w:val="20"/>
          <w:szCs w:val="20"/>
        </w:rPr>
      </w:pPr>
      <w:r w:rsidRPr="00B86A3A">
        <w:rPr>
          <w:rStyle w:val="FootnoteReference"/>
          <w:rFonts w:ascii="Andalus" w:hAnsi="Andalus" w:cs="Andalus"/>
          <w:sz w:val="20"/>
          <w:szCs w:val="20"/>
        </w:rPr>
        <w:footnoteRef/>
      </w:r>
      <w:r w:rsidRPr="00B86A3A">
        <w:rPr>
          <w:rFonts w:ascii="Andalus" w:hAnsi="Andalus" w:cs="Andalus"/>
          <w:sz w:val="20"/>
          <w:szCs w:val="20"/>
        </w:rPr>
        <w:t xml:space="preserve">Association of Democratic Reforms v Union of India </w:t>
      </w:r>
      <w:r w:rsidRPr="00B86A3A">
        <w:rPr>
          <w:rFonts w:ascii="Andalus" w:eastAsia="Arial Unicode MS" w:hAnsi="Andalus" w:cs="Andalus"/>
          <w:sz w:val="20"/>
          <w:szCs w:val="20"/>
        </w:rPr>
        <w:t>AIR 2001 Del.126 @ 137</w:t>
      </w:r>
    </w:p>
  </w:footnote>
  <w:footnote w:id="73">
    <w:p w:rsidR="00600A30" w:rsidRPr="00B86A3A" w:rsidRDefault="00F17C5F" w:rsidP="009C3F69">
      <w:pPr>
        <w:pStyle w:val="FootnoteText"/>
        <w:ind w:left="-270"/>
        <w:rPr>
          <w:rFonts w:ascii="Andalus" w:eastAsia="Arial Unicode MS" w:hAnsi="Andalus" w:cs="Andalus"/>
        </w:rPr>
      </w:pPr>
      <w:r w:rsidRPr="00B86A3A">
        <w:rPr>
          <w:rStyle w:val="FootnoteReference"/>
          <w:rFonts w:ascii="Andalus" w:eastAsia="Arial Unicode MS" w:hAnsi="Andalus" w:cs="Andalus"/>
        </w:rPr>
        <w:footnoteRef/>
      </w:r>
      <w:r w:rsidRPr="00B86A3A">
        <w:rPr>
          <w:rFonts w:ascii="Andalus" w:eastAsia="Arial Unicode MS" w:hAnsi="Andalus" w:cs="Andalus"/>
        </w:rPr>
        <w:t xml:space="preserve"> AIR 1982 SC 149,</w:t>
      </w:r>
    </w:p>
  </w:footnote>
  <w:footnote w:id="74">
    <w:p w:rsidR="00600A30" w:rsidRPr="00B86A3A" w:rsidRDefault="00F17C5F" w:rsidP="009C3F69">
      <w:pPr>
        <w:spacing w:after="0" w:line="240" w:lineRule="auto"/>
        <w:ind w:left="-270"/>
        <w:rPr>
          <w:rFonts w:ascii="Andalus" w:hAnsi="Andalus" w:cs="Andalus"/>
          <w:sz w:val="20"/>
          <w:szCs w:val="20"/>
        </w:rPr>
      </w:pPr>
      <w:r w:rsidRPr="00B86A3A">
        <w:rPr>
          <w:rStyle w:val="FootnoteReference"/>
          <w:rFonts w:ascii="Andalus" w:hAnsi="Andalus" w:cs="Andalus"/>
          <w:sz w:val="20"/>
          <w:szCs w:val="20"/>
        </w:rPr>
        <w:footnoteRef/>
      </w:r>
      <w:r w:rsidRPr="00B86A3A">
        <w:rPr>
          <w:rFonts w:ascii="Andalus" w:hAnsi="Andalus" w:cs="Andalus"/>
          <w:sz w:val="20"/>
          <w:szCs w:val="20"/>
        </w:rPr>
        <w:t xml:space="preserve"> Inter-American Court of Human Rights Case 12.108, Report No. 60/03 (19September 2006)</w:t>
      </w:r>
      <w:hyperlink r:id="rId14" w:history="1">
        <w:r w:rsidRPr="00B86A3A">
          <w:rPr>
            <w:rStyle w:val="Hyperlink"/>
            <w:rFonts w:ascii="Andalus" w:hAnsi="Andalus" w:cs="Andalus"/>
            <w:sz w:val="20"/>
            <w:szCs w:val="20"/>
          </w:rPr>
          <w:t>http://www1.umn.edu/humanrts/cases/60-03.html</w:t>
        </w:r>
      </w:hyperlink>
      <w:r w:rsidRPr="00B86A3A">
        <w:rPr>
          <w:rFonts w:ascii="Andalus" w:hAnsi="Andalus" w:cs="Andalus"/>
          <w:sz w:val="20"/>
          <w:szCs w:val="20"/>
        </w:rPr>
        <w:t>. (Accessed October 1 2011)</w:t>
      </w:r>
    </w:p>
  </w:footnote>
  <w:footnote w:id="75">
    <w:p w:rsidR="00600A30" w:rsidRPr="00B86A3A" w:rsidRDefault="00F17C5F" w:rsidP="009C3F69">
      <w:pPr>
        <w:pStyle w:val="FootnoteText"/>
        <w:ind w:left="-270"/>
        <w:rPr>
          <w:rFonts w:ascii="Andalus" w:eastAsia="Arial Unicode MS" w:hAnsi="Andalus" w:cs="Andalus"/>
        </w:rPr>
      </w:pPr>
      <w:r w:rsidRPr="00B86A3A">
        <w:rPr>
          <w:rStyle w:val="FootnoteReference"/>
          <w:rFonts w:ascii="Andalus" w:eastAsia="Arial Unicode MS" w:hAnsi="Andalus" w:cs="Andalus"/>
        </w:rPr>
        <w:footnoteRef/>
      </w:r>
      <w:r w:rsidRPr="00B86A3A">
        <w:rPr>
          <w:rFonts w:ascii="Andalus" w:eastAsia="Arial Unicode MS" w:hAnsi="Andalus" w:cs="Andalus"/>
        </w:rPr>
        <w:t xml:space="preserve"> DFES v IC &amp; Anor EA/2006/0006 para. 61.</w:t>
      </w:r>
    </w:p>
  </w:footnote>
  <w:footnote w:id="76">
    <w:p w:rsidR="00600A30" w:rsidRPr="00B86A3A" w:rsidRDefault="00F17C5F" w:rsidP="009C3F69">
      <w:pPr>
        <w:pStyle w:val="FootnoteText"/>
        <w:ind w:left="-270"/>
        <w:jc w:val="both"/>
        <w:rPr>
          <w:rFonts w:ascii="Andalus" w:eastAsia="Arial Unicode MS" w:hAnsi="Andalus" w:cs="Andalus"/>
        </w:rPr>
      </w:pPr>
      <w:r w:rsidRPr="00B86A3A">
        <w:rPr>
          <w:rStyle w:val="FootnoteReference"/>
          <w:rFonts w:ascii="Andalus" w:eastAsia="Arial Unicode MS" w:hAnsi="Andalus" w:cs="Andalus"/>
        </w:rPr>
        <w:footnoteRef/>
      </w:r>
      <w:r w:rsidRPr="00B86A3A">
        <w:rPr>
          <w:rFonts w:ascii="Andalus" w:eastAsia="Arial Unicode MS" w:hAnsi="Andalus" w:cs="Andalus"/>
          <w:iCs/>
        </w:rPr>
        <w:t xml:space="preserve">Sunday Times v. United Kingdom </w:t>
      </w:r>
      <w:r w:rsidRPr="00B86A3A">
        <w:rPr>
          <w:rFonts w:ascii="Andalus" w:eastAsia="Arial Unicode MS" w:hAnsi="Andalus" w:cs="Andalus"/>
        </w:rPr>
        <w:t>(1979) 2 EHRR 245</w:t>
      </w:r>
    </w:p>
  </w:footnote>
  <w:footnote w:id="77">
    <w:p w:rsidR="00600A30" w:rsidRPr="00B86A3A" w:rsidRDefault="00F17C5F" w:rsidP="009C3F69">
      <w:pPr>
        <w:pStyle w:val="FootnoteText"/>
        <w:ind w:left="-270"/>
        <w:rPr>
          <w:rFonts w:ascii="Andalus" w:hAnsi="Andalus" w:cs="Andalus"/>
        </w:rPr>
      </w:pPr>
      <w:r w:rsidRPr="00B86A3A">
        <w:rPr>
          <w:rStyle w:val="FootnoteReference"/>
          <w:rFonts w:ascii="Andalus" w:hAnsi="Andalus" w:cs="Andalus"/>
        </w:rPr>
        <w:footnoteRef/>
      </w:r>
      <w:r w:rsidRPr="00B86A3A">
        <w:rPr>
          <w:rFonts w:ascii="Andalus" w:hAnsi="Andalus" w:cs="Andalus"/>
        </w:rPr>
        <w:t xml:space="preserve"> Welch Jnr, C.E  and Meltzer, R.I (eds) “Human rights as a problem in contemporary Africa” </w:t>
      </w:r>
      <w:r w:rsidRPr="00B86A3A">
        <w:rPr>
          <w:rStyle w:val="st"/>
          <w:rFonts w:ascii="Andalus" w:hAnsi="Andalus" w:cs="Andalus"/>
        </w:rPr>
        <w:t xml:space="preserve">in </w:t>
      </w:r>
      <w:r w:rsidRPr="00B86A3A">
        <w:rPr>
          <w:rFonts w:ascii="Andalus" w:hAnsi="Andalus" w:cs="Andalus"/>
        </w:rPr>
        <w:t>CE Welch Jnr  and RI Meltzer (eds)</w:t>
      </w:r>
      <w:r w:rsidRPr="00B86A3A">
        <w:rPr>
          <w:rStyle w:val="Emphasis"/>
          <w:rFonts w:ascii="Andalus" w:hAnsi="Andalus" w:cs="Andalus"/>
          <w:b w:val="0"/>
          <w:i w:val="0"/>
        </w:rPr>
        <w:t xml:space="preserve">Human Rights and </w:t>
      </w:r>
      <w:r w:rsidRPr="00B86A3A">
        <w:rPr>
          <w:rStyle w:val="st"/>
          <w:rFonts w:ascii="Andalus" w:hAnsi="Andalus" w:cs="Andalus"/>
        </w:rPr>
        <w:t>D</w:t>
      </w:r>
      <w:r w:rsidRPr="00B86A3A">
        <w:rPr>
          <w:rStyle w:val="Emphasis"/>
          <w:rFonts w:ascii="Andalus" w:hAnsi="Andalus" w:cs="Andalus"/>
          <w:b w:val="0"/>
          <w:i w:val="0"/>
        </w:rPr>
        <w:t>evelopment</w:t>
      </w:r>
      <w:r w:rsidRPr="00B86A3A">
        <w:rPr>
          <w:rStyle w:val="st"/>
          <w:rFonts w:ascii="Andalus" w:hAnsi="Andalus" w:cs="Andalus"/>
        </w:rPr>
        <w:t xml:space="preserve"> in </w:t>
      </w:r>
      <w:r w:rsidRPr="00B86A3A">
        <w:rPr>
          <w:rStyle w:val="Emphasis"/>
          <w:rFonts w:ascii="Andalus" w:hAnsi="Andalus" w:cs="Andalus"/>
          <w:b w:val="0"/>
          <w:i w:val="0"/>
        </w:rPr>
        <w:t>Africa</w:t>
      </w:r>
      <w:r w:rsidRPr="00B86A3A">
        <w:rPr>
          <w:rStyle w:val="st"/>
          <w:rFonts w:ascii="Andalus" w:hAnsi="Andalus" w:cs="Andalus"/>
          <w:b/>
          <w:i/>
        </w:rPr>
        <w:t>,</w:t>
      </w:r>
      <w:r w:rsidRPr="00B86A3A">
        <w:rPr>
          <w:rFonts w:ascii="Andalus" w:hAnsi="Andalus" w:cs="Andalus"/>
        </w:rPr>
        <w:t>(1984)11</w:t>
      </w:r>
    </w:p>
  </w:footnote>
  <w:footnote w:id="78">
    <w:p w:rsidR="00600A30" w:rsidRPr="00B86A3A" w:rsidRDefault="00F17C5F" w:rsidP="009C3F69">
      <w:pPr>
        <w:pStyle w:val="FootnoteText"/>
        <w:ind w:left="-270"/>
        <w:rPr>
          <w:rFonts w:ascii="Andalus" w:hAnsi="Andalus" w:cs="Andalus"/>
        </w:rPr>
      </w:pPr>
      <w:r w:rsidRPr="00B86A3A">
        <w:rPr>
          <w:rStyle w:val="FootnoteReference"/>
          <w:rFonts w:ascii="Andalus" w:hAnsi="Andalus" w:cs="Andalus"/>
        </w:rPr>
        <w:footnoteRef/>
      </w:r>
      <w:r w:rsidRPr="00B86A3A">
        <w:rPr>
          <w:rFonts w:ascii="Andalus" w:eastAsia="Arial Unicode MS" w:hAnsi="Andalus" w:cs="Andalus"/>
          <w:iCs/>
        </w:rPr>
        <w:t>(2002) 9 NWLR (pt. 772) 222,</w:t>
      </w:r>
    </w:p>
  </w:footnote>
  <w:footnote w:id="79">
    <w:p w:rsidR="00600A30" w:rsidRPr="00B86A3A" w:rsidRDefault="00F17C5F" w:rsidP="009C3F69">
      <w:pPr>
        <w:pStyle w:val="FootnoteText"/>
        <w:ind w:left="-270"/>
        <w:jc w:val="both"/>
        <w:rPr>
          <w:rFonts w:ascii="Andalus" w:eastAsia="Arial Unicode MS" w:hAnsi="Andalus" w:cs="Andalus"/>
        </w:rPr>
      </w:pPr>
      <w:r w:rsidRPr="00B86A3A">
        <w:rPr>
          <w:rStyle w:val="FootnoteReference"/>
          <w:rFonts w:ascii="Andalus" w:eastAsia="Arial Unicode MS" w:hAnsi="Andalus" w:cs="Andalus"/>
        </w:rPr>
        <w:footnoteRef/>
      </w:r>
      <w:r w:rsidRPr="00B86A3A">
        <w:rPr>
          <w:rFonts w:ascii="Andalus" w:hAnsi="Andalus" w:cs="Andalus"/>
        </w:rPr>
        <w:t>FOIA, supra @ section</w:t>
      </w:r>
      <w:r w:rsidRPr="00B86A3A">
        <w:rPr>
          <w:rFonts w:ascii="Andalus" w:eastAsia="Arial Unicode MS" w:hAnsi="Andalus" w:cs="Andalus"/>
        </w:rPr>
        <w:t xml:space="preserve"> 7(4) </w:t>
      </w:r>
    </w:p>
  </w:footnote>
  <w:footnote w:id="80">
    <w:p w:rsidR="00600A30" w:rsidRPr="00B86A3A" w:rsidRDefault="00F17C5F" w:rsidP="009C3F69">
      <w:pPr>
        <w:pStyle w:val="FootnoteText"/>
        <w:ind w:left="-270"/>
        <w:jc w:val="both"/>
        <w:rPr>
          <w:rFonts w:ascii="Andalus" w:hAnsi="Andalus" w:cs="Andalus"/>
        </w:rPr>
      </w:pPr>
      <w:r w:rsidRPr="00B86A3A">
        <w:rPr>
          <w:rStyle w:val="FootnoteReference"/>
          <w:rFonts w:ascii="Andalus" w:hAnsi="Andalus" w:cs="Andalus"/>
        </w:rPr>
        <w:footnoteRef/>
      </w:r>
      <w:r w:rsidRPr="00B86A3A">
        <w:rPr>
          <w:rFonts w:ascii="Andalus" w:hAnsi="Andalus" w:cs="Andalus"/>
        </w:rPr>
        <w:t xml:space="preserve"> Birkinshaw, P (Ibid) p.9</w:t>
      </w:r>
    </w:p>
  </w:footnote>
  <w:footnote w:id="81">
    <w:p w:rsidR="00600A30" w:rsidRPr="00B86A3A" w:rsidRDefault="00F17C5F" w:rsidP="009C3F69">
      <w:pPr>
        <w:pStyle w:val="FootnoteText"/>
        <w:ind w:left="-270"/>
        <w:rPr>
          <w:rFonts w:ascii="Andalus" w:hAnsi="Andalus" w:cs="Andalus"/>
        </w:rPr>
      </w:pPr>
      <w:r w:rsidRPr="00B86A3A">
        <w:rPr>
          <w:rStyle w:val="FootnoteReference"/>
          <w:rFonts w:ascii="Andalus" w:hAnsi="Andalus" w:cs="Andalus"/>
        </w:rPr>
        <w:footnoteRef/>
      </w:r>
      <w:r w:rsidRPr="00B86A3A">
        <w:rPr>
          <w:rFonts w:ascii="Andalus" w:hAnsi="Andalus" w:cs="Andalus"/>
        </w:rPr>
        <w:t xml:space="preserve"> Bhagwatt,P.N, Developing human rights jurisprudence, Commonwealth Secretariat Publication, 1998, pp. XX11-XXIII. </w:t>
      </w:r>
    </w:p>
  </w:footnote>
  <w:footnote w:id="82">
    <w:p w:rsidR="00600A30" w:rsidRPr="00B86A3A" w:rsidRDefault="00F17C5F" w:rsidP="009C3F69">
      <w:pPr>
        <w:pStyle w:val="ListParagraph1"/>
        <w:spacing w:after="0" w:line="240" w:lineRule="auto"/>
        <w:ind w:left="-270"/>
        <w:jc w:val="both"/>
        <w:rPr>
          <w:rFonts w:ascii="Andalus" w:hAnsi="Andalus" w:cs="Andalus"/>
          <w:sz w:val="20"/>
          <w:szCs w:val="20"/>
        </w:rPr>
      </w:pPr>
      <w:r w:rsidRPr="00B86A3A">
        <w:rPr>
          <w:rStyle w:val="FootnoteReference"/>
          <w:rFonts w:ascii="Andalus" w:hAnsi="Andalus" w:cs="Andalus"/>
          <w:sz w:val="20"/>
          <w:szCs w:val="20"/>
        </w:rPr>
        <w:footnoteRef/>
      </w:r>
      <w:r w:rsidRPr="00B86A3A">
        <w:rPr>
          <w:rFonts w:ascii="Andalus" w:eastAsia="Arial Unicode MS" w:hAnsi="Andalus" w:cs="Andalus"/>
          <w:sz w:val="20"/>
          <w:szCs w:val="20"/>
        </w:rPr>
        <w:t>Article 29 of Uganda’s Constitution of 2005 provides for right to expression, ideas and opinion and in addition provides in article 41</w:t>
      </w:r>
      <w:r w:rsidRPr="00B86A3A">
        <w:rPr>
          <w:rFonts w:ascii="Andalus" w:hAnsi="Andalus" w:cs="Andalus"/>
          <w:sz w:val="20"/>
          <w:szCs w:val="20"/>
        </w:rPr>
        <w:t xml:space="preserve"> that “citizen has a right of access to information in the possession of the State</w:t>
      </w:r>
      <w:r w:rsidRPr="00B86A3A">
        <w:rPr>
          <w:rFonts w:ascii="Andalus" w:eastAsia="Arial Unicode MS" w:hAnsi="Andalus" w:cs="Andalus"/>
          <w:sz w:val="20"/>
          <w:szCs w:val="20"/>
        </w:rPr>
        <w:t>”.</w:t>
      </w:r>
    </w:p>
  </w:footnote>
  <w:footnote w:id="83">
    <w:p w:rsidR="00600A30" w:rsidRPr="00B86A3A" w:rsidRDefault="00F17C5F" w:rsidP="009C3F69">
      <w:pPr>
        <w:pStyle w:val="FootnoteText"/>
        <w:ind w:left="-270"/>
        <w:rPr>
          <w:rFonts w:ascii="Andalus" w:hAnsi="Andalus" w:cs="Andalus"/>
          <w:b/>
        </w:rPr>
      </w:pPr>
      <w:r w:rsidRPr="00B86A3A">
        <w:rPr>
          <w:rStyle w:val="FootnoteReference"/>
          <w:rFonts w:ascii="Andalus" w:hAnsi="Andalus" w:cs="Andalus"/>
        </w:rPr>
        <w:footnoteRef/>
      </w:r>
      <w:r w:rsidRPr="00B86A3A">
        <w:rPr>
          <w:rFonts w:ascii="Andalus" w:hAnsi="Andalus" w:cs="Andalus"/>
        </w:rPr>
        <w:t xml:space="preserve"> Article 39 (1) and (2) of Slovakia Constitution of 1992 (as amended in 2001)</w:t>
      </w:r>
      <w:r w:rsidRPr="00B86A3A">
        <w:rPr>
          <w:rFonts w:ascii="Andalus" w:hAnsi="Andalus" w:cs="Andalus"/>
          <w:b/>
        </w:rPr>
        <w:t>.</w:t>
      </w:r>
    </w:p>
  </w:footnote>
  <w:footnote w:id="84">
    <w:p w:rsidR="00600A30" w:rsidRPr="00B86A3A" w:rsidRDefault="00F17C5F" w:rsidP="009C3F69">
      <w:pPr>
        <w:pStyle w:val="FootnoteText"/>
        <w:ind w:left="-270"/>
        <w:rPr>
          <w:rFonts w:ascii="Andalus" w:hAnsi="Andalus" w:cs="Andalus"/>
        </w:rPr>
      </w:pPr>
      <w:r w:rsidRPr="00B86A3A">
        <w:rPr>
          <w:rStyle w:val="FootnoteReference"/>
          <w:rFonts w:ascii="Andalus" w:hAnsi="Andalus" w:cs="Andalus"/>
        </w:rPr>
        <w:footnoteRef/>
      </w:r>
      <w:r w:rsidRPr="00B86A3A">
        <w:rPr>
          <w:rFonts w:ascii="Andalus" w:hAnsi="Andalus" w:cs="Andalus"/>
        </w:rPr>
        <w:t xml:space="preserve"> Promotion of Access to Information Act of 2000 Sec 9 &amp; 50</w:t>
      </w:r>
    </w:p>
  </w:footnote>
  <w:footnote w:id="85">
    <w:p w:rsidR="00600A30" w:rsidRPr="00B86A3A" w:rsidRDefault="00F17C5F" w:rsidP="009C3F69">
      <w:pPr>
        <w:autoSpaceDE w:val="0"/>
        <w:autoSpaceDN w:val="0"/>
        <w:adjustRightInd w:val="0"/>
        <w:spacing w:after="0" w:line="240" w:lineRule="auto"/>
        <w:ind w:left="-270"/>
        <w:rPr>
          <w:rFonts w:ascii="Andalus" w:hAnsi="Andalus" w:cs="Andalus"/>
          <w:sz w:val="20"/>
          <w:szCs w:val="20"/>
        </w:rPr>
      </w:pPr>
      <w:r w:rsidRPr="00B86A3A">
        <w:rPr>
          <w:rStyle w:val="FootnoteReference"/>
          <w:rFonts w:ascii="Andalus" w:hAnsi="Andalus" w:cs="Andalus"/>
          <w:sz w:val="20"/>
          <w:szCs w:val="20"/>
        </w:rPr>
        <w:footnoteRef/>
      </w:r>
      <w:r w:rsidRPr="00B86A3A">
        <w:rPr>
          <w:rFonts w:ascii="Andalus" w:hAnsi="Andalus" w:cs="Andalus"/>
          <w:sz w:val="20"/>
          <w:szCs w:val="20"/>
        </w:rPr>
        <w:t>Constitution of the Republic of South Africa (CSA) of 1996, section 32</w:t>
      </w:r>
    </w:p>
  </w:footnote>
  <w:footnote w:id="86">
    <w:p w:rsidR="00600A30" w:rsidRPr="00B86A3A" w:rsidRDefault="00F17C5F" w:rsidP="009C3F69">
      <w:pPr>
        <w:pStyle w:val="FootnoteText"/>
        <w:ind w:left="-270"/>
        <w:rPr>
          <w:rFonts w:ascii="Andalus" w:hAnsi="Andalus" w:cs="Andalus"/>
        </w:rPr>
      </w:pPr>
      <w:r w:rsidRPr="00B86A3A">
        <w:rPr>
          <w:rStyle w:val="FootnoteReference"/>
          <w:rFonts w:ascii="Andalus" w:hAnsi="Andalus" w:cs="Andalus"/>
        </w:rPr>
        <w:footnoteRef/>
      </w:r>
      <w:r w:rsidRPr="00B86A3A">
        <w:rPr>
          <w:rFonts w:ascii="Andalus" w:hAnsi="Andalus" w:cs="Andalus"/>
        </w:rPr>
        <w:t xml:space="preserve"> Article 39 of the 2011 Constitution of Bangladesh.</w:t>
      </w:r>
    </w:p>
  </w:footnote>
  <w:footnote w:id="87">
    <w:p w:rsidR="00600A30" w:rsidRPr="00B86A3A" w:rsidRDefault="00F17C5F" w:rsidP="009C3F69">
      <w:pPr>
        <w:pStyle w:val="FootnoteText"/>
        <w:ind w:left="-270"/>
        <w:rPr>
          <w:rFonts w:ascii="Andalus" w:hAnsi="Andalus" w:cs="Andalus"/>
        </w:rPr>
      </w:pPr>
      <w:r w:rsidRPr="00B86A3A">
        <w:rPr>
          <w:rStyle w:val="FootnoteReference"/>
          <w:rFonts w:ascii="Andalus" w:hAnsi="Andalus" w:cs="Andalus"/>
        </w:rPr>
        <w:footnoteRef/>
      </w:r>
      <w:r w:rsidRPr="00B86A3A">
        <w:rPr>
          <w:rFonts w:ascii="Andalus" w:hAnsi="Andalus" w:cs="Andalus"/>
        </w:rPr>
        <w:t xml:space="preserve"> Article 5 XIV and XXXIII of the Constitution of Brazil 1988 states that “[A]ccess to information is assured to everyone….. of private, collective or general interest”,</w:t>
      </w:r>
    </w:p>
  </w:footnote>
  <w:footnote w:id="88">
    <w:p w:rsidR="00600A30" w:rsidRPr="00B86A3A" w:rsidRDefault="00F17C5F" w:rsidP="009C3F69">
      <w:pPr>
        <w:pStyle w:val="FootnoteText"/>
        <w:ind w:left="-270"/>
        <w:rPr>
          <w:rFonts w:ascii="Andalus" w:hAnsi="Andalus" w:cs="Andalus"/>
        </w:rPr>
      </w:pPr>
      <w:r w:rsidRPr="00B86A3A">
        <w:rPr>
          <w:rStyle w:val="FootnoteReference"/>
          <w:rFonts w:ascii="Andalus" w:hAnsi="Andalus" w:cs="Andalus"/>
        </w:rPr>
        <w:footnoteRef/>
      </w:r>
      <w:r w:rsidRPr="00B86A3A">
        <w:rPr>
          <w:rFonts w:ascii="Andalus" w:hAnsi="Andalus" w:cs="Andalus"/>
        </w:rPr>
        <w:t xml:space="preserve">  Birkinshaw,P, (Ibid) p.80</w:t>
      </w:r>
    </w:p>
  </w:footnote>
  <w:footnote w:id="89">
    <w:p w:rsidR="00600A30" w:rsidRPr="00B86A3A" w:rsidRDefault="00F17C5F" w:rsidP="009C3F69">
      <w:pPr>
        <w:pStyle w:val="FootnoteText"/>
        <w:ind w:left="-270"/>
        <w:rPr>
          <w:rFonts w:ascii="Andalus" w:hAnsi="Andalus" w:cs="Andalus"/>
        </w:rPr>
      </w:pPr>
      <w:r w:rsidRPr="00B86A3A">
        <w:rPr>
          <w:rStyle w:val="FootnoteReference"/>
          <w:rFonts w:ascii="Andalus" w:hAnsi="Andalus" w:cs="Andalus"/>
        </w:rPr>
        <w:footnoteRef/>
      </w:r>
      <w:r w:rsidRPr="00B86A3A">
        <w:rPr>
          <w:rFonts w:ascii="Andalus" w:hAnsi="Andalus" w:cs="Andalus"/>
        </w:rPr>
        <w:t xml:space="preserve"> Imuekemhe, S; Understanding Public Administration as a tool for effective Governance, Gift Print: Benin, 2014, p. 2</w:t>
      </w:r>
    </w:p>
  </w:footnote>
  <w:footnote w:id="90">
    <w:p w:rsidR="00600A30" w:rsidRPr="00B86A3A" w:rsidRDefault="00F17C5F" w:rsidP="009C3F69">
      <w:pPr>
        <w:pStyle w:val="FootnoteText"/>
        <w:ind w:left="-270"/>
        <w:rPr>
          <w:rFonts w:ascii="Andalus" w:hAnsi="Andalus" w:cs="Andalus"/>
        </w:rPr>
      </w:pPr>
      <w:r w:rsidRPr="00B86A3A">
        <w:rPr>
          <w:rStyle w:val="FootnoteReference"/>
          <w:rFonts w:ascii="Andalus" w:hAnsi="Andalus" w:cs="Andalus"/>
        </w:rPr>
        <w:footnoteRef/>
      </w:r>
      <w:r w:rsidRPr="00B86A3A">
        <w:rPr>
          <w:rFonts w:ascii="Andalus" w:eastAsia="Arial Unicode MS" w:hAnsi="Andalus" w:cs="Andalus"/>
        </w:rPr>
        <w:t xml:space="preserve"> (1994) 6 NWLR (pt. 351) 475</w:t>
      </w:r>
    </w:p>
  </w:footnote>
  <w:footnote w:id="91">
    <w:p w:rsidR="00600A30" w:rsidRPr="00B86A3A" w:rsidRDefault="00F17C5F" w:rsidP="009C3F69">
      <w:pPr>
        <w:pStyle w:val="FootnoteText"/>
        <w:ind w:left="-270"/>
        <w:rPr>
          <w:rFonts w:ascii="Andalus" w:hAnsi="Andalus" w:cs="Andalus"/>
        </w:rPr>
      </w:pPr>
      <w:r w:rsidRPr="00B86A3A">
        <w:rPr>
          <w:rStyle w:val="FootnoteReference"/>
          <w:rFonts w:ascii="Andalus" w:hAnsi="Andalus" w:cs="Andalus"/>
        </w:rPr>
        <w:footnoteRef/>
      </w:r>
      <w:r w:rsidRPr="00B86A3A">
        <w:rPr>
          <w:rFonts w:ascii="Andalus" w:hAnsi="Andalus" w:cs="Andalus"/>
        </w:rPr>
        <w:t xml:space="preserve"> See also ES Nwauche “The dubious distinction between principal and accessory claims in Nigeria Human Right Jurisprudence” Journal of African Law (2008)52,  pp. 68-88</w:t>
      </w:r>
    </w:p>
  </w:footnote>
  <w:footnote w:id="92">
    <w:p w:rsidR="00600A30" w:rsidRPr="00B86A3A" w:rsidRDefault="00F17C5F" w:rsidP="009C3F69">
      <w:pPr>
        <w:pStyle w:val="FootnoteText"/>
        <w:ind w:left="-270"/>
        <w:rPr>
          <w:rFonts w:ascii="Andalus" w:eastAsia="Arial Unicode MS" w:hAnsi="Andalus" w:cs="Andalus"/>
        </w:rPr>
      </w:pPr>
      <w:r w:rsidRPr="00B86A3A">
        <w:rPr>
          <w:rStyle w:val="FootnoteReference"/>
          <w:rFonts w:ascii="Andalus" w:eastAsia="Arial Unicode MS" w:hAnsi="Andalus" w:cs="Andalus"/>
        </w:rPr>
        <w:footnoteRef/>
      </w:r>
      <w:r w:rsidRPr="00B86A3A">
        <w:rPr>
          <w:rFonts w:ascii="Andalus" w:eastAsia="Arial Unicode MS" w:hAnsi="Andalus" w:cs="Andalus"/>
        </w:rPr>
        <w:t xml:space="preserve"> Webster’s Encyclopedic Dictionary, 2002: Federal Street Press: Springfield, Massachusetts, p. 1281/906.</w:t>
      </w:r>
    </w:p>
  </w:footnote>
  <w:footnote w:id="93">
    <w:p w:rsidR="00600A30" w:rsidRPr="00B86A3A" w:rsidRDefault="00F17C5F" w:rsidP="009C3F69">
      <w:pPr>
        <w:pStyle w:val="FootnoteText"/>
        <w:ind w:left="-270"/>
        <w:rPr>
          <w:rFonts w:ascii="Andalus" w:eastAsia="Arial Unicode MS" w:hAnsi="Andalus" w:cs="Andalus"/>
        </w:rPr>
      </w:pPr>
      <w:r w:rsidRPr="00B86A3A">
        <w:rPr>
          <w:rStyle w:val="FootnoteReference"/>
          <w:rFonts w:ascii="Andalus" w:eastAsia="Arial Unicode MS" w:hAnsi="Andalus" w:cs="Andalus"/>
        </w:rPr>
        <w:footnoteRef/>
      </w:r>
      <w:r w:rsidRPr="00B86A3A">
        <w:rPr>
          <w:rFonts w:ascii="Andalus" w:eastAsia="Arial Unicode MS" w:hAnsi="Andalus" w:cs="Andalus"/>
        </w:rPr>
        <w:t xml:space="preserve"> Ibid.p.917</w:t>
      </w:r>
    </w:p>
  </w:footnote>
  <w:footnote w:id="94">
    <w:p w:rsidR="00600A30" w:rsidRPr="00B86A3A" w:rsidRDefault="00F17C5F" w:rsidP="009C3F69">
      <w:pPr>
        <w:pStyle w:val="FootnoteText"/>
        <w:ind w:left="-270"/>
        <w:rPr>
          <w:rFonts w:ascii="Andalus" w:eastAsia="Arial Unicode MS" w:hAnsi="Andalus" w:cs="Andalus"/>
        </w:rPr>
      </w:pPr>
      <w:r w:rsidRPr="00B86A3A">
        <w:rPr>
          <w:rStyle w:val="FootnoteReference"/>
          <w:rFonts w:ascii="Andalus" w:eastAsia="Arial Unicode MS" w:hAnsi="Andalus" w:cs="Andalus"/>
        </w:rPr>
        <w:footnoteRef/>
      </w:r>
      <w:r w:rsidRPr="00B86A3A">
        <w:rPr>
          <w:rFonts w:ascii="Andalus" w:eastAsia="Arial Unicode MS" w:hAnsi="Andalus" w:cs="Andalus"/>
        </w:rPr>
        <w:t xml:space="preserve"> Ibid.p.1530 </w:t>
      </w:r>
    </w:p>
  </w:footnote>
  <w:footnote w:id="95">
    <w:p w:rsidR="00600A30" w:rsidRPr="00B86A3A" w:rsidRDefault="00F17C5F" w:rsidP="009C3F69">
      <w:pPr>
        <w:pStyle w:val="FootnoteText"/>
        <w:ind w:left="-270"/>
        <w:rPr>
          <w:rFonts w:ascii="Andalus" w:hAnsi="Andalus" w:cs="Andalus"/>
        </w:rPr>
      </w:pPr>
      <w:r w:rsidRPr="00B86A3A">
        <w:rPr>
          <w:rStyle w:val="FootnoteReference"/>
          <w:rFonts w:ascii="Andalus" w:hAnsi="Andalus" w:cs="Andalus"/>
        </w:rPr>
        <w:footnoteRef/>
      </w:r>
      <w:r w:rsidRPr="00B86A3A">
        <w:rPr>
          <w:rFonts w:ascii="Andalus" w:hAnsi="Andalus" w:cs="Andalus"/>
        </w:rPr>
        <w:t xml:space="preserve"> Mendel, supra n 19 @ 3</w:t>
      </w:r>
    </w:p>
  </w:footnote>
  <w:footnote w:id="96">
    <w:p w:rsidR="00600A30" w:rsidRPr="00B86A3A" w:rsidRDefault="00F17C5F" w:rsidP="009C3F69">
      <w:pPr>
        <w:pStyle w:val="FootnoteText"/>
        <w:ind w:left="-270"/>
        <w:rPr>
          <w:rFonts w:ascii="Andalus" w:eastAsia="Arial Unicode MS" w:hAnsi="Andalus" w:cs="Andalus"/>
        </w:rPr>
      </w:pPr>
      <w:r w:rsidRPr="00B86A3A">
        <w:rPr>
          <w:rStyle w:val="FootnoteReference"/>
          <w:rFonts w:ascii="Andalus" w:eastAsia="Arial Unicode MS" w:hAnsi="Andalus" w:cs="Andalus"/>
        </w:rPr>
        <w:footnoteRef/>
      </w:r>
      <w:r w:rsidRPr="00B86A3A">
        <w:rPr>
          <w:rFonts w:ascii="Andalus" w:eastAsia="Arial Unicode MS" w:hAnsi="Andalus" w:cs="Andalus"/>
        </w:rPr>
        <w:t xml:space="preserve"> AIR 1995 SC 1236; infra, 1177-78</w:t>
      </w:r>
    </w:p>
  </w:footnote>
  <w:footnote w:id="97">
    <w:p w:rsidR="00600A30" w:rsidRPr="00B86A3A" w:rsidRDefault="00F17C5F" w:rsidP="009C3F69">
      <w:pPr>
        <w:pStyle w:val="ListParagraph1"/>
        <w:spacing w:after="0" w:line="240" w:lineRule="auto"/>
        <w:ind w:left="-270"/>
        <w:jc w:val="both"/>
        <w:rPr>
          <w:rFonts w:ascii="Andalus" w:eastAsia="Arial Unicode MS" w:hAnsi="Andalus" w:cs="Andalus"/>
          <w:sz w:val="20"/>
          <w:szCs w:val="20"/>
        </w:rPr>
      </w:pPr>
      <w:r w:rsidRPr="00B86A3A">
        <w:rPr>
          <w:rStyle w:val="FootnoteReference"/>
          <w:rFonts w:ascii="Andalus" w:eastAsia="Arial Unicode MS" w:hAnsi="Andalus" w:cs="Andalus"/>
          <w:sz w:val="20"/>
          <w:szCs w:val="20"/>
        </w:rPr>
        <w:footnoteRef/>
      </w:r>
      <w:r w:rsidRPr="00B86A3A">
        <w:rPr>
          <w:rFonts w:ascii="Andalus" w:eastAsia="Arial Unicode MS" w:hAnsi="Andalus" w:cs="Andalus"/>
          <w:sz w:val="20"/>
          <w:szCs w:val="20"/>
        </w:rPr>
        <w:t>AIR 2001 Del.126 @ 137</w:t>
      </w:r>
    </w:p>
  </w:footnote>
  <w:footnote w:id="98">
    <w:p w:rsidR="00600A30" w:rsidRPr="00B86A3A" w:rsidRDefault="00F17C5F" w:rsidP="009C3F69">
      <w:pPr>
        <w:pStyle w:val="FootnoteText"/>
        <w:ind w:left="-270"/>
        <w:rPr>
          <w:rFonts w:ascii="Andalus" w:hAnsi="Andalus" w:cs="Andalus"/>
        </w:rPr>
      </w:pPr>
      <w:r w:rsidRPr="00B86A3A">
        <w:rPr>
          <w:rStyle w:val="FootnoteReference"/>
          <w:rFonts w:ascii="Andalus" w:hAnsi="Andalus" w:cs="Andalus"/>
        </w:rPr>
        <w:footnoteRef/>
      </w:r>
      <w:r w:rsidRPr="00B86A3A">
        <w:rPr>
          <w:rFonts w:ascii="Andalus" w:eastAsia="Arial Unicode MS" w:hAnsi="Andalus" w:cs="Andalus"/>
          <w:iCs/>
        </w:rPr>
        <w:t>Fernando v. Sri Lanka Broadcasting Corporation &amp; Ors</w:t>
      </w:r>
      <w:r w:rsidRPr="00B86A3A">
        <w:rPr>
          <w:rFonts w:ascii="Andalus" w:eastAsia="Arial Unicode MS" w:hAnsi="Andalus" w:cs="Andalus"/>
        </w:rPr>
        <w:t xml:space="preserve"> , SC Application NO: 81/95, (30 May 1996)</w:t>
      </w:r>
    </w:p>
  </w:footnote>
  <w:footnote w:id="99">
    <w:p w:rsidR="00600A30" w:rsidRPr="00B86A3A" w:rsidRDefault="00F17C5F" w:rsidP="009C3F69">
      <w:pPr>
        <w:pStyle w:val="FootnoteText"/>
        <w:ind w:left="-270"/>
        <w:rPr>
          <w:rFonts w:ascii="Andalus" w:eastAsia="Arial Unicode MS" w:hAnsi="Andalus" w:cs="Andalus"/>
        </w:rPr>
      </w:pPr>
      <w:r w:rsidRPr="00B86A3A">
        <w:rPr>
          <w:rStyle w:val="FootnoteReference"/>
          <w:rFonts w:ascii="Andalus" w:eastAsia="Arial Unicode MS" w:hAnsi="Andalus" w:cs="Andalus"/>
        </w:rPr>
        <w:footnoteRef/>
      </w:r>
      <w:r w:rsidRPr="00B86A3A">
        <w:rPr>
          <w:rFonts w:ascii="Andalus" w:eastAsia="Arial Unicode MS" w:hAnsi="Andalus" w:cs="Andalus"/>
        </w:rPr>
        <w:t xml:space="preserve"> CFRN, supra n 40 @ Section 14(2)(c)</w:t>
      </w:r>
    </w:p>
  </w:footnote>
  <w:footnote w:id="100">
    <w:p w:rsidR="00600A30" w:rsidRPr="00B86A3A" w:rsidRDefault="00F17C5F" w:rsidP="009C3F69">
      <w:pPr>
        <w:spacing w:after="0" w:line="240" w:lineRule="auto"/>
        <w:ind w:left="-270"/>
        <w:rPr>
          <w:rFonts w:ascii="Andalus" w:hAnsi="Andalus" w:cs="Andalus"/>
          <w:sz w:val="20"/>
          <w:szCs w:val="20"/>
        </w:rPr>
      </w:pPr>
      <w:r w:rsidRPr="00B86A3A">
        <w:rPr>
          <w:rStyle w:val="FootnoteReference"/>
          <w:rFonts w:ascii="Andalus" w:hAnsi="Andalus" w:cs="Andalus"/>
          <w:sz w:val="20"/>
          <w:szCs w:val="20"/>
        </w:rPr>
        <w:footnoteRef/>
      </w:r>
      <w:r w:rsidRPr="00B86A3A">
        <w:rPr>
          <w:rFonts w:ascii="Andalus" w:hAnsi="Andalus" w:cs="Andalus"/>
          <w:sz w:val="20"/>
          <w:szCs w:val="20"/>
        </w:rPr>
        <w:t>M Riekkinen  et al, (Ibid)p. 122</w:t>
      </w:r>
    </w:p>
  </w:footnote>
  <w:footnote w:id="101">
    <w:p w:rsidR="00600A30" w:rsidRPr="00B86A3A" w:rsidRDefault="00F17C5F" w:rsidP="009C3F69">
      <w:pPr>
        <w:pStyle w:val="FootnoteText"/>
        <w:ind w:left="-270"/>
        <w:rPr>
          <w:rFonts w:ascii="Andalus" w:hAnsi="Andalus" w:cs="Andalus"/>
        </w:rPr>
      </w:pPr>
      <w:r w:rsidRPr="00B86A3A">
        <w:rPr>
          <w:rStyle w:val="FootnoteReference"/>
          <w:rFonts w:ascii="Andalus" w:hAnsi="Andalus" w:cs="Andalus"/>
        </w:rPr>
        <w:footnoteRef/>
      </w:r>
      <w:r w:rsidRPr="00B86A3A">
        <w:rPr>
          <w:rFonts w:ascii="Andalus" w:hAnsi="Andalus" w:cs="Andalus"/>
        </w:rPr>
        <w:t xml:space="preserve"> Mendel (Ibid) p. 1,2,&amp; 4</w:t>
      </w:r>
    </w:p>
  </w:footnote>
  <w:footnote w:id="102">
    <w:p w:rsidR="00600A30" w:rsidRPr="00B86A3A" w:rsidRDefault="00F17C5F" w:rsidP="009C3F69">
      <w:pPr>
        <w:pStyle w:val="FootnoteText"/>
        <w:ind w:left="-270"/>
        <w:jc w:val="both"/>
        <w:rPr>
          <w:rFonts w:ascii="Andalus" w:eastAsia="Arial Unicode MS" w:hAnsi="Andalus" w:cs="Andalus"/>
        </w:rPr>
      </w:pPr>
      <w:r w:rsidRPr="00B86A3A">
        <w:rPr>
          <w:rStyle w:val="FootnoteReference"/>
          <w:rFonts w:ascii="Andalus" w:eastAsia="Arial Unicode MS" w:hAnsi="Andalus" w:cs="Andalus"/>
        </w:rPr>
        <w:footnoteRef/>
      </w:r>
      <w:r w:rsidRPr="00B86A3A">
        <w:rPr>
          <w:rFonts w:ascii="Andalus" w:eastAsia="Arial Unicode MS" w:hAnsi="Andalus" w:cs="Andalus"/>
        </w:rPr>
        <w:t xml:space="preserve"> J Bentham “On publicity” in J Bowring (Ed.) Works of Bentham (1843) 310-317</w:t>
      </w:r>
    </w:p>
  </w:footnote>
  <w:footnote w:id="103">
    <w:p w:rsidR="00600A30" w:rsidRPr="00B86A3A" w:rsidRDefault="00F17C5F" w:rsidP="009C3F69">
      <w:pPr>
        <w:pStyle w:val="FootnoteText"/>
        <w:ind w:left="-270"/>
        <w:jc w:val="both"/>
        <w:rPr>
          <w:rFonts w:ascii="Andalus" w:eastAsia="Arial Unicode MS" w:hAnsi="Andalus" w:cs="Andalus"/>
        </w:rPr>
      </w:pPr>
      <w:r w:rsidRPr="00B86A3A">
        <w:rPr>
          <w:rStyle w:val="FootnoteReference"/>
          <w:rFonts w:ascii="Andalus" w:eastAsia="Arial Unicode MS" w:hAnsi="Andalus" w:cs="Andalus"/>
        </w:rPr>
        <w:footnoteRef/>
      </w:r>
      <w:r w:rsidRPr="00B86A3A">
        <w:rPr>
          <w:rFonts w:ascii="Andalus" w:eastAsia="Arial Unicode MS" w:hAnsi="Andalus" w:cs="Andalus"/>
        </w:rPr>
        <w:t xml:space="preserve"> R Tagore “Mind without fear”, in R Tagore (Trans), </w:t>
      </w:r>
      <w:r w:rsidRPr="00B86A3A">
        <w:rPr>
          <w:rFonts w:ascii="Andalus" w:eastAsia="Arial Unicode MS" w:hAnsi="Andalus" w:cs="Andalus"/>
          <w:iCs/>
        </w:rPr>
        <w:t>Gitanjali: “Song offerings”</w:t>
      </w:r>
      <w:r w:rsidRPr="00B86A3A">
        <w:rPr>
          <w:rFonts w:ascii="Andalus" w:eastAsia="Arial Unicode MS" w:hAnsi="Andalus" w:cs="Andalus"/>
        </w:rPr>
        <w:t xml:space="preserve">, (1910)  </w:t>
      </w:r>
    </w:p>
  </w:footnote>
  <w:footnote w:id="104">
    <w:p w:rsidR="00600A30" w:rsidRPr="00B86A3A" w:rsidRDefault="00F17C5F" w:rsidP="009C3F69">
      <w:pPr>
        <w:spacing w:after="0" w:line="240" w:lineRule="auto"/>
        <w:ind w:left="-270"/>
        <w:jc w:val="both"/>
        <w:rPr>
          <w:rFonts w:ascii="Andalus" w:eastAsia="Arial Unicode MS" w:hAnsi="Andalus" w:cs="Andalus"/>
          <w:sz w:val="20"/>
          <w:szCs w:val="20"/>
        </w:rPr>
      </w:pPr>
      <w:r w:rsidRPr="00B86A3A">
        <w:rPr>
          <w:rStyle w:val="FootnoteReference"/>
          <w:rFonts w:ascii="Andalus" w:eastAsia="Arial Unicode MS" w:hAnsi="Andalus" w:cs="Andalus"/>
          <w:sz w:val="20"/>
          <w:szCs w:val="20"/>
        </w:rPr>
        <w:footnoteRef/>
      </w:r>
      <w:r w:rsidRPr="00B86A3A">
        <w:rPr>
          <w:rFonts w:ascii="Andalus" w:eastAsia="Arial Unicode MS" w:hAnsi="Andalus" w:cs="Andalus"/>
          <w:sz w:val="20"/>
          <w:szCs w:val="20"/>
        </w:rPr>
        <w:t xml:space="preserve"> JA Adams </w:t>
      </w:r>
      <w:r w:rsidRPr="00B86A3A">
        <w:rPr>
          <w:rFonts w:ascii="Andalus" w:eastAsia="Arial Unicode MS" w:hAnsi="Andalus" w:cs="Andalus"/>
          <w:bCs/>
          <w:iCs/>
          <w:sz w:val="20"/>
          <w:szCs w:val="20"/>
        </w:rPr>
        <w:t>Dissertation on the canon and feudal law</w:t>
      </w:r>
      <w:r w:rsidRPr="00B86A3A">
        <w:rPr>
          <w:rFonts w:ascii="Andalus" w:eastAsia="Arial Unicode MS" w:hAnsi="Andalus" w:cs="Andalus"/>
          <w:sz w:val="20"/>
          <w:szCs w:val="20"/>
        </w:rPr>
        <w:t>, Boston Gazette, September 30, 1765 in papers of JAdams et al (1977)108.</w:t>
      </w:r>
    </w:p>
  </w:footnote>
  <w:footnote w:id="105">
    <w:p w:rsidR="00600A30" w:rsidRPr="00B86A3A" w:rsidRDefault="00F17C5F" w:rsidP="009C3F69">
      <w:pPr>
        <w:pStyle w:val="FootnoteText"/>
        <w:ind w:left="-270"/>
        <w:rPr>
          <w:rFonts w:ascii="Andalus" w:hAnsi="Andalus" w:cs="Andalus"/>
        </w:rPr>
      </w:pPr>
      <w:r w:rsidRPr="00B86A3A">
        <w:rPr>
          <w:rStyle w:val="FootnoteReference"/>
          <w:rFonts w:ascii="Andalus" w:hAnsi="Andalus" w:cs="Andalus"/>
        </w:rPr>
        <w:footnoteRef/>
      </w:r>
      <w:r w:rsidRPr="00B86A3A">
        <w:rPr>
          <w:rFonts w:ascii="Andalus" w:hAnsi="Andalus" w:cs="Andalus"/>
        </w:rPr>
        <w:t xml:space="preserve"> Aigbokhan, P. E “The Task of the masses in the demand for good leadership and national development” (2010)11 Kontagora Journal of Education 111</w:t>
      </w:r>
    </w:p>
  </w:footnote>
  <w:footnote w:id="106">
    <w:p w:rsidR="00600A30" w:rsidRPr="00B86A3A" w:rsidRDefault="00F17C5F" w:rsidP="009C3F69">
      <w:pPr>
        <w:pStyle w:val="FootnoteText"/>
        <w:ind w:left="-270"/>
        <w:rPr>
          <w:rFonts w:ascii="Andalus" w:hAnsi="Andalus" w:cs="Andalus"/>
        </w:rPr>
      </w:pPr>
      <w:r w:rsidRPr="00B86A3A">
        <w:rPr>
          <w:rStyle w:val="FootnoteReference"/>
          <w:rFonts w:ascii="Andalus" w:hAnsi="Andalus" w:cs="Andalus"/>
        </w:rPr>
        <w:footnoteRef/>
      </w:r>
      <w:r w:rsidRPr="00B86A3A">
        <w:rPr>
          <w:rFonts w:ascii="Andalus" w:eastAsia="Arial Unicode MS" w:hAnsi="Andalus" w:cs="Andalus"/>
        </w:rPr>
        <w:t>Sinrod, J.E “Freedom of information act response deadlines: Bridging the gap between Legislative intent and economic reality” (1993)43 American University Law Review 327</w:t>
      </w:r>
    </w:p>
  </w:footnote>
  <w:footnote w:id="107">
    <w:p w:rsidR="00600A30" w:rsidRPr="00B86A3A" w:rsidRDefault="00F17C5F" w:rsidP="009C3F69">
      <w:pPr>
        <w:autoSpaceDE w:val="0"/>
        <w:autoSpaceDN w:val="0"/>
        <w:adjustRightInd w:val="0"/>
        <w:spacing w:after="0" w:line="240" w:lineRule="auto"/>
        <w:ind w:left="-270"/>
        <w:rPr>
          <w:rFonts w:ascii="Andalus" w:hAnsi="Andalus" w:cs="Andalus"/>
          <w:sz w:val="20"/>
          <w:szCs w:val="20"/>
        </w:rPr>
      </w:pPr>
      <w:r w:rsidRPr="00B86A3A">
        <w:rPr>
          <w:rStyle w:val="FootnoteReference"/>
          <w:rFonts w:ascii="Andalus" w:hAnsi="Andalus" w:cs="Andalus"/>
          <w:sz w:val="20"/>
          <w:szCs w:val="20"/>
        </w:rPr>
        <w:footnoteRef/>
      </w:r>
      <w:r w:rsidRPr="00B86A3A">
        <w:rPr>
          <w:rFonts w:ascii="Andalus" w:hAnsi="Andalus" w:cs="Andalus"/>
          <w:sz w:val="20"/>
          <w:szCs w:val="20"/>
        </w:rPr>
        <w:t>UN Maputo Declaration on Fostering Freedom of Expression, Access to Information and Empowerment of People 2008.</w:t>
      </w:r>
    </w:p>
  </w:footnote>
  <w:footnote w:id="108">
    <w:p w:rsidR="00600A30" w:rsidRPr="00B86A3A" w:rsidRDefault="00F17C5F" w:rsidP="009C3F69">
      <w:pPr>
        <w:pStyle w:val="FootnoteText"/>
        <w:ind w:left="-270"/>
        <w:rPr>
          <w:rFonts w:ascii="Andalus" w:hAnsi="Andalus" w:cs="Andalus"/>
        </w:rPr>
      </w:pPr>
      <w:r w:rsidRPr="00B86A3A">
        <w:rPr>
          <w:rStyle w:val="FootnoteReference"/>
          <w:rFonts w:ascii="Andalus" w:hAnsi="Andalus" w:cs="Andalus"/>
        </w:rPr>
        <w:footnoteRef/>
      </w:r>
      <w:r w:rsidRPr="00B86A3A">
        <w:rPr>
          <w:rFonts w:ascii="Andalus" w:hAnsi="Andalus" w:cs="Andalus"/>
        </w:rPr>
        <w:t xml:space="preserve"> Akinseye-George, Y “Constitutional Framework for Accountability in Nigeria” (2011) 1 University of Ibadan Law Journal 71</w:t>
      </w:r>
    </w:p>
  </w:footnote>
  <w:footnote w:id="109">
    <w:p w:rsidR="00600A30" w:rsidRPr="00B86A3A" w:rsidRDefault="00F17C5F" w:rsidP="009C3F69">
      <w:pPr>
        <w:pStyle w:val="FootnoteText"/>
        <w:ind w:left="-270"/>
        <w:rPr>
          <w:rFonts w:ascii="Andalus" w:hAnsi="Andalus" w:cs="Andalus"/>
        </w:rPr>
      </w:pPr>
      <w:r w:rsidRPr="00B86A3A">
        <w:rPr>
          <w:rStyle w:val="FootnoteReference"/>
          <w:rFonts w:ascii="Andalus" w:hAnsi="Andalus" w:cs="Andalus"/>
        </w:rPr>
        <w:footnoteRef/>
      </w:r>
      <w:r w:rsidRPr="00B86A3A">
        <w:rPr>
          <w:rFonts w:ascii="Andalus" w:hAnsi="Andalus" w:cs="Andalus"/>
        </w:rPr>
        <w:t xml:space="preserve"> section 22 of Constitution of Federal Republic of Nigeria 1999</w:t>
      </w:r>
    </w:p>
  </w:footnote>
  <w:footnote w:id="110">
    <w:p w:rsidR="00600A30" w:rsidRPr="00B86A3A" w:rsidRDefault="00F17C5F" w:rsidP="009C3F69">
      <w:pPr>
        <w:pStyle w:val="FootnoteText"/>
        <w:ind w:left="-270"/>
        <w:jc w:val="both"/>
        <w:rPr>
          <w:rFonts w:ascii="Andalus" w:eastAsia="Arial Unicode MS" w:hAnsi="Andalus" w:cs="Andalus"/>
        </w:rPr>
      </w:pPr>
      <w:r w:rsidRPr="00B86A3A">
        <w:rPr>
          <w:rStyle w:val="FootnoteReference"/>
          <w:rFonts w:ascii="Andalus" w:eastAsia="Arial Unicode MS" w:hAnsi="Andalus" w:cs="Andalus"/>
        </w:rPr>
        <w:footnoteRef/>
      </w:r>
      <w:r w:rsidRPr="00B86A3A">
        <w:rPr>
          <w:rFonts w:ascii="Andalus" w:eastAsia="Arial Unicode MS" w:hAnsi="Andalus" w:cs="Andalus"/>
        </w:rPr>
        <w:t>Sections 2 (6), 1(3) and 31 of Freedom of Information Act 2011</w:t>
      </w:r>
    </w:p>
  </w:footnote>
  <w:footnote w:id="111">
    <w:p w:rsidR="00600A30" w:rsidRPr="00B86A3A" w:rsidRDefault="00F17C5F" w:rsidP="009C3F69">
      <w:pPr>
        <w:pStyle w:val="FootnoteText"/>
        <w:ind w:left="-270"/>
        <w:jc w:val="both"/>
        <w:rPr>
          <w:rFonts w:ascii="Andalus" w:eastAsia="Arial Unicode MS" w:hAnsi="Andalus" w:cs="Andalus"/>
        </w:rPr>
      </w:pPr>
      <w:r w:rsidRPr="00B86A3A">
        <w:rPr>
          <w:rStyle w:val="FootnoteReference"/>
          <w:rFonts w:ascii="Andalus" w:eastAsia="Arial Unicode MS" w:hAnsi="Andalus" w:cs="Andalus"/>
        </w:rPr>
        <w:footnoteRef/>
      </w:r>
      <w:r w:rsidRPr="00B86A3A">
        <w:rPr>
          <w:rFonts w:ascii="Andalus" w:eastAsia="Arial Unicode MS" w:hAnsi="Andalus" w:cs="Andalus"/>
        </w:rPr>
        <w:t>section 1(2) of Freedom of Information Act 2011</w:t>
      </w:r>
    </w:p>
  </w:footnote>
  <w:footnote w:id="112">
    <w:p w:rsidR="00600A30" w:rsidRPr="00B86A3A" w:rsidRDefault="00F17C5F" w:rsidP="009C3F69">
      <w:pPr>
        <w:pStyle w:val="FootnoteText"/>
        <w:ind w:left="-270"/>
        <w:jc w:val="both"/>
        <w:rPr>
          <w:rFonts w:ascii="Andalus" w:eastAsia="Arial Unicode MS" w:hAnsi="Andalus" w:cs="Andalus"/>
        </w:rPr>
      </w:pPr>
      <w:r w:rsidRPr="00B86A3A">
        <w:rPr>
          <w:rStyle w:val="FootnoteReference"/>
          <w:rFonts w:ascii="Andalus" w:eastAsia="Arial Unicode MS" w:hAnsi="Andalus" w:cs="Andalus"/>
        </w:rPr>
        <w:footnoteRef/>
      </w:r>
      <w:r w:rsidRPr="00B86A3A">
        <w:rPr>
          <w:rFonts w:ascii="Andalus" w:eastAsia="Arial Unicode MS" w:hAnsi="Andalus" w:cs="Andalus"/>
        </w:rPr>
        <w:t xml:space="preserve"> section 1(3) of Freedom of Information Act 2011</w:t>
      </w:r>
    </w:p>
  </w:footnote>
  <w:footnote w:id="113">
    <w:p w:rsidR="009C3F69" w:rsidRPr="009879DF" w:rsidRDefault="009C3F69" w:rsidP="009C3F69">
      <w:pPr>
        <w:pStyle w:val="FootnoteText"/>
        <w:ind w:left="-270"/>
        <w:rPr>
          <w:rFonts w:ascii="Andalus" w:hAnsi="Andalus" w:cs="Andalus"/>
        </w:rPr>
      </w:pPr>
      <w:r w:rsidRPr="009879DF">
        <w:rPr>
          <w:rStyle w:val="FootnoteReference"/>
          <w:rFonts w:ascii="Andalus" w:hAnsi="Andalus" w:cs="Andalus"/>
        </w:rPr>
        <w:footnoteRef/>
      </w:r>
      <w:r w:rsidRPr="009879DF">
        <w:rPr>
          <w:rFonts w:ascii="Andalus" w:hAnsi="Andalus" w:cs="Andalus"/>
        </w:rPr>
        <w:t xml:space="preserve"> Sections 5 and 11 (1) (a) of the ATIA</w:t>
      </w:r>
    </w:p>
  </w:footnote>
  <w:footnote w:id="114">
    <w:p w:rsidR="005A6790" w:rsidRDefault="005A6790" w:rsidP="009C3F69">
      <w:pPr>
        <w:pStyle w:val="FootnoteText"/>
        <w:ind w:left="-270"/>
      </w:pPr>
      <w:r>
        <w:rPr>
          <w:rStyle w:val="FootnoteReference"/>
        </w:rPr>
        <w:footnoteRef/>
      </w:r>
      <w:r>
        <w:t xml:space="preserve"> </w:t>
      </w:r>
      <w:r>
        <w:rPr>
          <w:rFonts w:ascii="Andalus" w:hAnsi="Andalus" w:cs="Andalus"/>
        </w:rPr>
        <w:t xml:space="preserve">Racicot, M and </w:t>
      </w:r>
      <w:r w:rsidRPr="009879DF">
        <w:rPr>
          <w:rFonts w:ascii="Andalus" w:hAnsi="Andalus" w:cs="Andalus"/>
        </w:rPr>
        <w:t>Work</w:t>
      </w:r>
      <w:r>
        <w:rPr>
          <w:rFonts w:ascii="Andalus" w:hAnsi="Andalus" w:cs="Andalus"/>
        </w:rPr>
        <w:t xml:space="preserve">, F, </w:t>
      </w:r>
      <w:r w:rsidRPr="009879DF">
        <w:rPr>
          <w:rFonts w:ascii="Andalus" w:hAnsi="Andalus" w:cs="Andalus"/>
        </w:rPr>
        <w:t>The Access to Informat</w:t>
      </w:r>
      <w:r>
        <w:rPr>
          <w:rFonts w:ascii="Andalus" w:hAnsi="Andalus" w:cs="Andalus"/>
        </w:rPr>
        <w:t xml:space="preserve">ion Act: a Canadian Experience, </w:t>
      </w:r>
      <w:r w:rsidRPr="009879DF">
        <w:rPr>
          <w:rFonts w:ascii="Andalus" w:hAnsi="Andalus" w:cs="Andalus"/>
        </w:rPr>
        <w:t xml:space="preserve"> Resource paper for National Workshop organized by Commonwealth Human Rights Initiative may 24-26, 2005, New Delhi, India</w:t>
      </w:r>
    </w:p>
  </w:footnote>
  <w:footnote w:id="115">
    <w:p w:rsidR="00600A30" w:rsidRPr="00B86A3A" w:rsidRDefault="00F17C5F" w:rsidP="009C3F69">
      <w:pPr>
        <w:pStyle w:val="FootnoteText"/>
        <w:ind w:left="-270"/>
        <w:jc w:val="both"/>
        <w:rPr>
          <w:rFonts w:ascii="Andalus" w:eastAsia="Arial Unicode MS" w:hAnsi="Andalus" w:cs="Andalus"/>
        </w:rPr>
      </w:pPr>
      <w:r w:rsidRPr="00B86A3A">
        <w:rPr>
          <w:rStyle w:val="FootnoteReference"/>
          <w:rFonts w:ascii="Andalus" w:hAnsi="Andalus" w:cs="Andalus"/>
        </w:rPr>
        <w:footnoteRef/>
      </w:r>
      <w:r w:rsidRPr="00B86A3A">
        <w:rPr>
          <w:rFonts w:ascii="Andalus" w:eastAsia="Arial Unicode MS" w:hAnsi="Andalus" w:cs="Andalus"/>
        </w:rPr>
        <w:t>sections 2 (6), 1 (3) and 3 of Freedom of Information Act 2011</w:t>
      </w:r>
    </w:p>
  </w:footnote>
  <w:footnote w:id="116">
    <w:p w:rsidR="00600A30" w:rsidRPr="00B86A3A" w:rsidRDefault="00F17C5F" w:rsidP="009C3F69">
      <w:pPr>
        <w:pStyle w:val="FootnoteText"/>
        <w:ind w:left="-270"/>
        <w:rPr>
          <w:rFonts w:ascii="Andalus" w:hAnsi="Andalus" w:cs="Andalus"/>
        </w:rPr>
      </w:pPr>
      <w:r w:rsidRPr="00B86A3A">
        <w:rPr>
          <w:rStyle w:val="FootnoteReference"/>
          <w:rFonts w:ascii="Andalus" w:eastAsia="Arial Unicode MS" w:hAnsi="Andalus" w:cs="Andalus"/>
        </w:rPr>
        <w:footnoteRef/>
      </w:r>
      <w:r w:rsidRPr="00B86A3A">
        <w:rPr>
          <w:rFonts w:ascii="Andalus" w:eastAsia="Arial Unicode MS" w:hAnsi="Andalus" w:cs="Andalus"/>
        </w:rPr>
        <w:t xml:space="preserve">section 39(2) of the </w:t>
      </w:r>
      <w:r w:rsidRPr="00B86A3A">
        <w:rPr>
          <w:rFonts w:ascii="Andalus" w:hAnsi="Andalus" w:cs="Andalus"/>
        </w:rPr>
        <w:t>Constitution of Federal Republic of Nigeria 1999</w:t>
      </w:r>
    </w:p>
  </w:footnote>
  <w:footnote w:id="117">
    <w:p w:rsidR="00600A30" w:rsidRPr="00B86A3A" w:rsidRDefault="00F17C5F" w:rsidP="009C3F69">
      <w:pPr>
        <w:pStyle w:val="FootnoteText"/>
        <w:ind w:left="-270"/>
        <w:rPr>
          <w:rFonts w:ascii="Andalus" w:hAnsi="Andalus" w:cs="Andalus"/>
        </w:rPr>
      </w:pPr>
      <w:r w:rsidRPr="00B86A3A">
        <w:rPr>
          <w:rStyle w:val="FootnoteReference"/>
          <w:rFonts w:ascii="Andalus" w:hAnsi="Andalus" w:cs="Andalus"/>
        </w:rPr>
        <w:footnoteRef/>
      </w:r>
      <w:r w:rsidRPr="00B86A3A">
        <w:rPr>
          <w:rFonts w:ascii="Andalus" w:hAnsi="Andalus" w:cs="Andalus"/>
        </w:rPr>
        <w:t xml:space="preserve"> section 22 (1)  of the constitution of South Africa</w:t>
      </w:r>
    </w:p>
  </w:footnote>
  <w:footnote w:id="118">
    <w:p w:rsidR="00600A30" w:rsidRPr="00B86A3A" w:rsidRDefault="00F17C5F" w:rsidP="009C3F69">
      <w:pPr>
        <w:pStyle w:val="FootnoteText"/>
        <w:ind w:left="-270"/>
        <w:rPr>
          <w:rFonts w:ascii="Andalus" w:hAnsi="Andalus" w:cs="Andalus"/>
        </w:rPr>
      </w:pPr>
      <w:r w:rsidRPr="00B86A3A">
        <w:rPr>
          <w:rStyle w:val="FootnoteReference"/>
          <w:rFonts w:ascii="Andalus" w:hAnsi="Andalus" w:cs="Andalus"/>
        </w:rPr>
        <w:footnoteRef/>
      </w:r>
      <w:r w:rsidRPr="00B86A3A">
        <w:rPr>
          <w:rFonts w:ascii="Andalus" w:hAnsi="Andalus" w:cs="Andalus"/>
        </w:rPr>
        <w:t>Section 1 (CC) of the Constitution of South Africa</w:t>
      </w:r>
    </w:p>
  </w:footnote>
  <w:footnote w:id="119">
    <w:p w:rsidR="00600A30" w:rsidRPr="00B86A3A" w:rsidRDefault="00F17C5F" w:rsidP="009C3F69">
      <w:pPr>
        <w:pStyle w:val="FootnoteText"/>
        <w:ind w:left="-270"/>
        <w:rPr>
          <w:rFonts w:ascii="Andalus" w:hAnsi="Andalus" w:cs="Andalus"/>
        </w:rPr>
      </w:pPr>
      <w:r w:rsidRPr="00B86A3A">
        <w:rPr>
          <w:rStyle w:val="FootnoteReference"/>
          <w:rFonts w:ascii="Andalus" w:hAnsi="Andalus" w:cs="Andalus"/>
        </w:rPr>
        <w:footnoteRef/>
      </w:r>
      <w:r w:rsidRPr="00B86A3A">
        <w:rPr>
          <w:rFonts w:ascii="Andalus" w:hAnsi="Andalus" w:cs="Andalus"/>
        </w:rPr>
        <w:t>Order 1 Rule 2 of the fundamental Rights Enforcement Procedure Rules 2009</w:t>
      </w:r>
    </w:p>
  </w:footnote>
  <w:footnote w:id="120">
    <w:p w:rsidR="00600A30" w:rsidRPr="00B86A3A" w:rsidRDefault="00F17C5F" w:rsidP="009C3F69">
      <w:pPr>
        <w:pStyle w:val="FootnoteText"/>
        <w:ind w:left="-270"/>
        <w:rPr>
          <w:rFonts w:ascii="Andalus" w:hAnsi="Andalus" w:cs="Andalus"/>
        </w:rPr>
      </w:pPr>
      <w:r w:rsidRPr="00B86A3A">
        <w:rPr>
          <w:rStyle w:val="FootnoteReference"/>
          <w:rFonts w:ascii="Andalus" w:hAnsi="Andalus" w:cs="Andalus"/>
        </w:rPr>
        <w:footnoteRef/>
      </w:r>
      <w:r w:rsidRPr="00B86A3A">
        <w:rPr>
          <w:rFonts w:ascii="Andalus" w:hAnsi="Andalus" w:cs="Andalus"/>
        </w:rPr>
        <w:t xml:space="preserve"> Byrne, E (ibid) p. 9</w:t>
      </w:r>
    </w:p>
  </w:footnote>
  <w:footnote w:id="121">
    <w:p w:rsidR="00600A30" w:rsidRPr="00B86A3A" w:rsidRDefault="00F17C5F" w:rsidP="009C3F69">
      <w:pPr>
        <w:pStyle w:val="FootnoteText"/>
        <w:ind w:left="-270"/>
        <w:rPr>
          <w:rFonts w:ascii="Andalus" w:eastAsia="Arial Unicode MS" w:hAnsi="Andalus" w:cs="Andalus"/>
        </w:rPr>
      </w:pPr>
      <w:r w:rsidRPr="00B86A3A">
        <w:rPr>
          <w:rStyle w:val="FootnoteReference"/>
          <w:rFonts w:ascii="Andalus" w:eastAsia="Arial Unicode MS" w:hAnsi="Andalus" w:cs="Andalus"/>
        </w:rPr>
        <w:footnoteRef/>
      </w:r>
      <w:r w:rsidRPr="00B86A3A">
        <w:rPr>
          <w:rFonts w:ascii="Andalus" w:eastAsia="Arial Unicode MS" w:hAnsi="Andalus" w:cs="Andalus"/>
        </w:rPr>
        <w:t xml:space="preserve"> NNPC v Fawehinmi (1998) 7 NWLR (pt. 559) 598 </w:t>
      </w:r>
    </w:p>
  </w:footnote>
  <w:footnote w:id="122">
    <w:p w:rsidR="00600A30" w:rsidRPr="00B86A3A" w:rsidRDefault="00F17C5F" w:rsidP="009C3F69">
      <w:pPr>
        <w:pStyle w:val="FootnoteText"/>
        <w:ind w:left="-270"/>
        <w:rPr>
          <w:rFonts w:ascii="Andalus" w:hAnsi="Andalus" w:cs="Andalus"/>
        </w:rPr>
      </w:pPr>
      <w:r w:rsidRPr="00B86A3A">
        <w:rPr>
          <w:rStyle w:val="FootnoteReference"/>
          <w:rFonts w:ascii="Andalus" w:hAnsi="Andalus" w:cs="Andalus"/>
        </w:rPr>
        <w:footnoteRef/>
      </w:r>
      <w:r w:rsidRPr="00B86A3A">
        <w:rPr>
          <w:rFonts w:ascii="Andalus" w:hAnsi="Andalus" w:cs="Andalus"/>
        </w:rPr>
        <w:t xml:space="preserve"> Babarinde v Ogun State University (2001) 1 CHR 156</w:t>
      </w:r>
    </w:p>
  </w:footnote>
  <w:footnote w:id="123">
    <w:p w:rsidR="00600A30" w:rsidRPr="00B86A3A" w:rsidRDefault="00F17C5F" w:rsidP="009C3F69">
      <w:pPr>
        <w:pStyle w:val="FootnoteText"/>
        <w:ind w:left="-270"/>
        <w:rPr>
          <w:rFonts w:ascii="Andalus" w:eastAsia="Arial Unicode MS" w:hAnsi="Andalus" w:cs="Andalus"/>
        </w:rPr>
      </w:pPr>
      <w:r w:rsidRPr="00B86A3A">
        <w:rPr>
          <w:rStyle w:val="FootnoteReference"/>
          <w:rFonts w:ascii="Andalus" w:eastAsia="Arial Unicode MS" w:hAnsi="Andalus" w:cs="Andalus"/>
        </w:rPr>
        <w:footnoteRef/>
      </w:r>
      <w:r w:rsidRPr="00B86A3A">
        <w:rPr>
          <w:rFonts w:ascii="Andalus" w:eastAsia="Arial Unicode MS" w:hAnsi="Andalus" w:cs="Andalus"/>
        </w:rPr>
        <w:t xml:space="preserve"> Sea Trucks Ltd v Anigboro (2001) 2 NWLR (pt. 696) 162</w:t>
      </w:r>
    </w:p>
  </w:footnote>
  <w:footnote w:id="124">
    <w:p w:rsidR="00600A30" w:rsidRPr="00B86A3A" w:rsidRDefault="00F17C5F" w:rsidP="009C3F69">
      <w:pPr>
        <w:pStyle w:val="FootnoteText"/>
        <w:ind w:left="-270"/>
        <w:rPr>
          <w:rFonts w:ascii="Andalus" w:eastAsia="Arial Unicode MS" w:hAnsi="Andalus" w:cs="Andalus"/>
        </w:rPr>
      </w:pPr>
      <w:r w:rsidRPr="00B86A3A">
        <w:rPr>
          <w:rStyle w:val="FootnoteReference"/>
          <w:rFonts w:ascii="Andalus" w:eastAsia="Arial Unicode MS" w:hAnsi="Andalus" w:cs="Andalus"/>
        </w:rPr>
        <w:footnoteRef/>
      </w:r>
      <w:r w:rsidRPr="00B86A3A">
        <w:rPr>
          <w:rFonts w:ascii="Andalus" w:eastAsia="Arial Unicode MS" w:hAnsi="Andalus" w:cs="Andalus"/>
        </w:rPr>
        <w:t xml:space="preserve"> (1953) 14 W.A.C.A 325</w:t>
      </w:r>
    </w:p>
  </w:footnote>
  <w:footnote w:id="125">
    <w:p w:rsidR="00600A30" w:rsidRPr="00B86A3A" w:rsidRDefault="00F17C5F" w:rsidP="009C3F69">
      <w:pPr>
        <w:pStyle w:val="FootnoteText"/>
        <w:ind w:left="-270"/>
        <w:rPr>
          <w:rFonts w:ascii="Andalus" w:eastAsia="Arial Unicode MS" w:hAnsi="Andalus" w:cs="Andalus"/>
        </w:rPr>
      </w:pPr>
      <w:r w:rsidRPr="00B86A3A">
        <w:rPr>
          <w:rStyle w:val="FootnoteReference"/>
          <w:rFonts w:ascii="Andalus" w:eastAsia="Arial Unicode MS" w:hAnsi="Andalus" w:cs="Andalus"/>
        </w:rPr>
        <w:footnoteRef/>
      </w:r>
      <w:r w:rsidRPr="00B86A3A">
        <w:rPr>
          <w:rFonts w:ascii="Andalus" w:eastAsia="Arial Unicode MS" w:hAnsi="Andalus" w:cs="Andalus"/>
        </w:rPr>
        <w:t xml:space="preserve"> Adediran  v Interland (1991) 9 NWLR (pt. 214) 155 @ 43</w:t>
      </w:r>
    </w:p>
  </w:footnote>
  <w:footnote w:id="126">
    <w:p w:rsidR="00600A30" w:rsidRPr="00B86A3A" w:rsidRDefault="00F17C5F" w:rsidP="009C3F69">
      <w:pPr>
        <w:pStyle w:val="FootnoteText"/>
        <w:ind w:left="-270"/>
        <w:rPr>
          <w:rFonts w:ascii="Andalus" w:hAnsi="Andalus" w:cs="Andalus"/>
        </w:rPr>
      </w:pPr>
      <w:r w:rsidRPr="00B86A3A">
        <w:rPr>
          <w:rStyle w:val="FootnoteReference"/>
          <w:rFonts w:ascii="Andalus" w:hAnsi="Andalus" w:cs="Andalus"/>
        </w:rPr>
        <w:footnoteRef/>
      </w:r>
      <w:r w:rsidRPr="00B86A3A">
        <w:rPr>
          <w:rFonts w:ascii="Andalus" w:hAnsi="Andalus" w:cs="Andalus"/>
        </w:rPr>
        <w:t xml:space="preserve"> Nnaemeka- Agu, P “The role of lawyers in the protection and advancement of human rights” (1992)18 Commonwealth Law Bulletin 739.</w:t>
      </w:r>
    </w:p>
  </w:footnote>
  <w:footnote w:id="127">
    <w:p w:rsidR="00600A30" w:rsidRPr="00B86A3A" w:rsidRDefault="00F17C5F" w:rsidP="009C3F69">
      <w:pPr>
        <w:pStyle w:val="FootnoteText"/>
        <w:ind w:left="-270"/>
        <w:rPr>
          <w:rFonts w:ascii="Andalus" w:hAnsi="Andalus" w:cs="Andalus"/>
        </w:rPr>
      </w:pPr>
      <w:r w:rsidRPr="00B86A3A">
        <w:rPr>
          <w:rStyle w:val="FootnoteReference"/>
          <w:rFonts w:ascii="Andalus" w:eastAsia="Arial Unicode MS" w:hAnsi="Andalus" w:cs="Andalus"/>
        </w:rPr>
        <w:footnoteRef/>
      </w:r>
      <w:r w:rsidRPr="00B86A3A">
        <w:rPr>
          <w:rFonts w:ascii="Andalus" w:eastAsia="Arial Unicode MS" w:hAnsi="Andalus" w:cs="Andalus"/>
        </w:rPr>
        <w:t xml:space="preserve"> section 66(3) </w:t>
      </w:r>
      <w:r w:rsidRPr="00B86A3A">
        <w:rPr>
          <w:rFonts w:ascii="Andalus" w:hAnsi="Andalus" w:cs="Andalus"/>
        </w:rPr>
        <w:t>Constitution of Federal Republic of Nigeria (CFRN) 1999</w:t>
      </w:r>
    </w:p>
  </w:footnote>
  <w:footnote w:id="128">
    <w:p w:rsidR="00600A30" w:rsidRPr="00B86A3A" w:rsidRDefault="00F17C5F" w:rsidP="009C3F69">
      <w:pPr>
        <w:pStyle w:val="FootnoteText"/>
        <w:ind w:left="-270"/>
        <w:rPr>
          <w:rFonts w:ascii="Andalus" w:hAnsi="Andalus" w:cs="Andalus"/>
        </w:rPr>
      </w:pPr>
      <w:r w:rsidRPr="00B86A3A">
        <w:rPr>
          <w:rStyle w:val="FootnoteReference"/>
          <w:rFonts w:ascii="Andalus" w:hAnsi="Andalus" w:cs="Andalus"/>
        </w:rPr>
        <w:footnoteRef/>
      </w:r>
      <w:r w:rsidRPr="00B86A3A">
        <w:rPr>
          <w:rFonts w:ascii="Andalus" w:eastAsia="Arial Unicode MS" w:hAnsi="Andalus" w:cs="Andalus"/>
        </w:rPr>
        <w:t xml:space="preserve"> Sections 4 (b) &amp; 29(1)(b)(c) of Freedom of Information Act 2011</w:t>
      </w:r>
    </w:p>
  </w:footnote>
  <w:footnote w:id="129">
    <w:p w:rsidR="00600A30" w:rsidRPr="00B86A3A" w:rsidRDefault="00F17C5F" w:rsidP="009C3F69">
      <w:pPr>
        <w:pStyle w:val="FootnoteText"/>
        <w:ind w:left="-270"/>
        <w:rPr>
          <w:rFonts w:ascii="Andalus" w:eastAsia="Arial Unicode MS" w:hAnsi="Andalus" w:cs="Andalus"/>
        </w:rPr>
      </w:pPr>
      <w:r w:rsidRPr="00B86A3A">
        <w:rPr>
          <w:rStyle w:val="FootnoteReference"/>
          <w:rFonts w:ascii="Andalus" w:eastAsia="Arial Unicode MS" w:hAnsi="Andalus" w:cs="Andalus"/>
        </w:rPr>
        <w:footnoteRef/>
      </w:r>
      <w:r w:rsidRPr="00B86A3A">
        <w:rPr>
          <w:rFonts w:ascii="Andalus" w:eastAsia="Arial Unicode MS" w:hAnsi="Andalus" w:cs="Andalus"/>
        </w:rPr>
        <w:t xml:space="preserve"> Adikwu v House of Representatives (1982) 3 NCLR 389</w:t>
      </w:r>
    </w:p>
  </w:footnote>
  <w:footnote w:id="130">
    <w:p w:rsidR="00600A30" w:rsidRPr="00B86A3A" w:rsidRDefault="00F17C5F" w:rsidP="009C3F69">
      <w:pPr>
        <w:pStyle w:val="FootnoteText"/>
        <w:ind w:left="-270"/>
        <w:rPr>
          <w:rFonts w:ascii="Andalus" w:eastAsia="Arial Unicode MS" w:hAnsi="Andalus" w:cs="Andalus"/>
        </w:rPr>
      </w:pPr>
      <w:r w:rsidRPr="00B86A3A">
        <w:rPr>
          <w:rStyle w:val="FootnoteReference"/>
          <w:rFonts w:ascii="Andalus" w:eastAsia="Arial Unicode MS" w:hAnsi="Andalus" w:cs="Andalus"/>
        </w:rPr>
        <w:footnoteRef/>
      </w:r>
      <w:r w:rsidRPr="00B86A3A">
        <w:rPr>
          <w:rFonts w:ascii="Andalus" w:eastAsia="Arial Unicode MS" w:hAnsi="Andalus" w:cs="Andalus"/>
        </w:rPr>
        <w:t>Section 6(6) of Constitution of Federal Republic of Nigeria 1999</w:t>
      </w:r>
    </w:p>
  </w:footnote>
  <w:footnote w:id="131">
    <w:p w:rsidR="00600A30" w:rsidRPr="00B86A3A" w:rsidRDefault="00F17C5F" w:rsidP="009C3F69">
      <w:pPr>
        <w:pStyle w:val="FootnoteText"/>
        <w:ind w:left="-270"/>
        <w:rPr>
          <w:rFonts w:ascii="Andalus" w:hAnsi="Andalus" w:cs="Andalus"/>
        </w:rPr>
      </w:pPr>
      <w:r w:rsidRPr="00B86A3A">
        <w:rPr>
          <w:rStyle w:val="FootnoteReference"/>
          <w:rFonts w:ascii="Andalus" w:hAnsi="Andalus" w:cs="Andalus"/>
        </w:rPr>
        <w:footnoteRef/>
      </w:r>
      <w:r w:rsidRPr="00B86A3A">
        <w:rPr>
          <w:rFonts w:ascii="Andalus" w:hAnsi="Andalus" w:cs="Andalus"/>
        </w:rPr>
        <w:t xml:space="preserve"> Section 20 of Freedom of Information Act 2011</w:t>
      </w:r>
    </w:p>
  </w:footnote>
  <w:footnote w:id="132">
    <w:p w:rsidR="00600A30" w:rsidRPr="00B86A3A" w:rsidRDefault="00F17C5F" w:rsidP="009C3F69">
      <w:pPr>
        <w:pStyle w:val="FootnoteText"/>
        <w:ind w:left="-270"/>
        <w:rPr>
          <w:rFonts w:ascii="Andalus" w:eastAsia="Arial Unicode MS" w:hAnsi="Andalus" w:cs="Andalus"/>
        </w:rPr>
      </w:pPr>
      <w:r w:rsidRPr="00B86A3A">
        <w:rPr>
          <w:rStyle w:val="FootnoteReference"/>
          <w:rFonts w:ascii="Andalus" w:eastAsia="Arial Unicode MS" w:hAnsi="Andalus" w:cs="Andalus"/>
        </w:rPr>
        <w:footnoteRef/>
      </w:r>
      <w:r w:rsidRPr="00B86A3A">
        <w:rPr>
          <w:rFonts w:ascii="Andalus" w:eastAsia="Arial Unicode MS" w:hAnsi="Andalus" w:cs="Andalus"/>
        </w:rPr>
        <w:t xml:space="preserve"> Bello v Sani (1982) 3 NCLR 831</w:t>
      </w:r>
    </w:p>
  </w:footnote>
  <w:footnote w:id="133">
    <w:p w:rsidR="00600A30" w:rsidRPr="00B86A3A" w:rsidRDefault="00F17C5F" w:rsidP="009C3F69">
      <w:pPr>
        <w:pStyle w:val="FootnoteText"/>
        <w:ind w:left="-270"/>
        <w:rPr>
          <w:rFonts w:ascii="Andalus" w:hAnsi="Andalus" w:cs="Andalus"/>
        </w:rPr>
      </w:pPr>
      <w:r w:rsidRPr="00B86A3A">
        <w:rPr>
          <w:rStyle w:val="FootnoteReference"/>
          <w:rFonts w:ascii="Andalus" w:hAnsi="Andalus" w:cs="Andalus"/>
        </w:rPr>
        <w:footnoteRef/>
      </w:r>
      <w:r w:rsidRPr="00B86A3A">
        <w:rPr>
          <w:rFonts w:ascii="Andalus" w:eastAsia="Arial Unicode MS" w:hAnsi="Andalus" w:cs="Andalus"/>
        </w:rPr>
        <w:t>North Wales Police v Evans (1982) 1WLR 1155</w:t>
      </w:r>
    </w:p>
  </w:footnote>
  <w:footnote w:id="134">
    <w:p w:rsidR="00600A30" w:rsidRPr="00B86A3A" w:rsidRDefault="00F17C5F" w:rsidP="009C3F69">
      <w:pPr>
        <w:pStyle w:val="FootnoteText"/>
        <w:ind w:left="-270"/>
        <w:jc w:val="both"/>
        <w:rPr>
          <w:rFonts w:ascii="Andalus" w:eastAsia="Arial Unicode MS" w:hAnsi="Andalus" w:cs="Andalus"/>
        </w:rPr>
      </w:pPr>
      <w:r w:rsidRPr="00B86A3A">
        <w:rPr>
          <w:rStyle w:val="FootnoteReference"/>
          <w:rFonts w:ascii="Andalus" w:eastAsia="Arial Unicode MS" w:hAnsi="Andalus" w:cs="Andalus"/>
        </w:rPr>
        <w:footnoteRef/>
      </w:r>
      <w:r w:rsidRPr="00B86A3A">
        <w:rPr>
          <w:rFonts w:ascii="Andalus" w:hAnsi="Andalus" w:cs="Andalus"/>
        </w:rPr>
        <w:t xml:space="preserve"> H Barneth Constitutional and Administrative Law (2000)</w:t>
      </w:r>
      <w:r w:rsidRPr="00B86A3A">
        <w:rPr>
          <w:rFonts w:ascii="Andalus" w:eastAsia="Arial Unicode MS" w:hAnsi="Andalus" w:cs="Andalus"/>
        </w:rPr>
        <w:t>1012</w:t>
      </w:r>
    </w:p>
  </w:footnote>
  <w:footnote w:id="135">
    <w:p w:rsidR="00600A30" w:rsidRPr="00B86A3A" w:rsidRDefault="00F17C5F" w:rsidP="009C3F69">
      <w:pPr>
        <w:pStyle w:val="FootnoteText"/>
        <w:ind w:left="-270"/>
        <w:rPr>
          <w:rFonts w:ascii="Andalus" w:hAnsi="Andalus" w:cs="Andalus"/>
        </w:rPr>
      </w:pPr>
      <w:r w:rsidRPr="00B86A3A">
        <w:rPr>
          <w:rStyle w:val="FootnoteReference"/>
          <w:rFonts w:ascii="Andalus" w:hAnsi="Andalus" w:cs="Andalus"/>
        </w:rPr>
        <w:footnoteRef/>
      </w:r>
      <w:r w:rsidRPr="00B86A3A">
        <w:rPr>
          <w:rFonts w:ascii="Andalus" w:hAnsi="Andalus" w:cs="Andalus"/>
        </w:rPr>
        <w:t>Falana, F (Ibid) p.53</w:t>
      </w:r>
    </w:p>
  </w:footnote>
  <w:footnote w:id="136">
    <w:p w:rsidR="00600A30" w:rsidRPr="00B86A3A" w:rsidRDefault="00F17C5F" w:rsidP="009C3F69">
      <w:pPr>
        <w:pStyle w:val="FootnoteText"/>
        <w:ind w:left="-270"/>
        <w:rPr>
          <w:rFonts w:ascii="Andalus" w:hAnsi="Andalus" w:cs="Andalus"/>
        </w:rPr>
      </w:pPr>
      <w:r w:rsidRPr="00B86A3A">
        <w:rPr>
          <w:rStyle w:val="FootnoteReference"/>
          <w:rFonts w:ascii="Andalus" w:hAnsi="Andalus" w:cs="Andalus"/>
        </w:rPr>
        <w:footnoteRef/>
      </w:r>
      <w:r w:rsidRPr="00B86A3A">
        <w:rPr>
          <w:rFonts w:ascii="Andalus" w:hAnsi="Andalus" w:cs="Andalus"/>
        </w:rPr>
        <w:t xml:space="preserve"> Nemi v State (1994) 10 SCNJ 1</w:t>
      </w:r>
    </w:p>
  </w:footnote>
  <w:footnote w:id="137">
    <w:p w:rsidR="00600A30" w:rsidRPr="00B86A3A" w:rsidRDefault="00F17C5F" w:rsidP="009C3F69">
      <w:pPr>
        <w:pStyle w:val="FootnoteText"/>
        <w:ind w:left="-270"/>
        <w:rPr>
          <w:rFonts w:ascii="Andalus" w:hAnsi="Andalus" w:cs="Andalus"/>
        </w:rPr>
      </w:pPr>
      <w:r w:rsidRPr="00B86A3A">
        <w:rPr>
          <w:rStyle w:val="FootnoteReference"/>
          <w:rFonts w:ascii="Andalus" w:hAnsi="Andalus" w:cs="Andalus"/>
        </w:rPr>
        <w:footnoteRef/>
      </w:r>
      <w:r w:rsidRPr="00B86A3A">
        <w:rPr>
          <w:rFonts w:ascii="Andalus" w:hAnsi="Andalus" w:cs="Andalus"/>
        </w:rPr>
        <w:t xml:space="preserve"> (2003) WRN 27</w:t>
      </w:r>
    </w:p>
  </w:footnote>
  <w:footnote w:id="138">
    <w:p w:rsidR="00600A30" w:rsidRPr="00B86A3A" w:rsidRDefault="00F17C5F" w:rsidP="009C3F69">
      <w:pPr>
        <w:pStyle w:val="FootnoteText"/>
        <w:ind w:left="-270"/>
        <w:rPr>
          <w:rFonts w:ascii="Andalus" w:eastAsia="Arial Unicode MS" w:hAnsi="Andalus" w:cs="Andalus"/>
        </w:rPr>
      </w:pPr>
      <w:r w:rsidRPr="00B86A3A">
        <w:rPr>
          <w:rStyle w:val="FootnoteReference"/>
          <w:rFonts w:ascii="Andalus" w:eastAsia="Arial Unicode MS" w:hAnsi="Andalus" w:cs="Andalus"/>
        </w:rPr>
        <w:footnoteRef/>
      </w:r>
      <w:r w:rsidRPr="00B86A3A">
        <w:rPr>
          <w:rFonts w:ascii="Andalus" w:eastAsia="Arial Unicode MS" w:hAnsi="Andalus" w:cs="Andalus"/>
        </w:rPr>
        <w:t>Paragraphs 1, 2 and 3 of  the preamble to the Fundamental Rights Enforcement Procedure Rules 2009</w:t>
      </w:r>
    </w:p>
  </w:footnote>
  <w:footnote w:id="139">
    <w:p w:rsidR="00600A30" w:rsidRPr="00B86A3A" w:rsidRDefault="00F17C5F" w:rsidP="009C3F69">
      <w:pPr>
        <w:pStyle w:val="Default"/>
        <w:ind w:left="-270"/>
        <w:rPr>
          <w:rFonts w:ascii="Andalus" w:eastAsia="Arial Unicode MS" w:hAnsi="Andalus" w:cs="Andalus"/>
          <w:bCs/>
          <w:sz w:val="20"/>
          <w:szCs w:val="20"/>
        </w:rPr>
      </w:pPr>
      <w:r w:rsidRPr="00B86A3A">
        <w:rPr>
          <w:rStyle w:val="FootnoteReference"/>
          <w:rFonts w:ascii="Andalus" w:eastAsia="Arial Unicode MS" w:hAnsi="Andalus" w:cs="Andalus"/>
          <w:sz w:val="20"/>
          <w:szCs w:val="20"/>
        </w:rPr>
        <w:footnoteRef/>
      </w:r>
      <w:r w:rsidRPr="00B86A3A">
        <w:rPr>
          <w:rFonts w:ascii="Andalus" w:eastAsia="Arial Unicode MS" w:hAnsi="Andalus" w:cs="Andalus"/>
          <w:sz w:val="20"/>
          <w:szCs w:val="20"/>
        </w:rPr>
        <w:t xml:space="preserve"> Raine, T “</w:t>
      </w:r>
      <w:r w:rsidRPr="00B86A3A">
        <w:rPr>
          <w:rFonts w:ascii="Andalus" w:eastAsia="Arial Unicode MS" w:hAnsi="Andalus" w:cs="Andalus"/>
          <w:bCs/>
          <w:sz w:val="20"/>
          <w:szCs w:val="20"/>
        </w:rPr>
        <w:t xml:space="preserve">Judicial Review under the Human Rights Act: a culture of justification” Northeast Law Review. </w:t>
      </w:r>
      <w:hyperlink r:id="rId15" w:history="1">
        <w:r w:rsidRPr="00B86A3A">
          <w:rPr>
            <w:rStyle w:val="Hyperlink"/>
            <w:rFonts w:ascii="Andalus" w:eastAsia="Arial Unicode MS" w:hAnsi="Andalus" w:cs="Andalus"/>
            <w:bCs/>
            <w:sz w:val="20"/>
            <w:szCs w:val="20"/>
          </w:rPr>
          <w:t>https://research.ncl.ac.uk/media/sites/researchwebsites/northeastlawreview/Thomas%20Raine.pdf</w:t>
        </w:r>
      </w:hyperlink>
      <w:r w:rsidRPr="00B86A3A">
        <w:rPr>
          <w:rFonts w:ascii="Andalus" w:eastAsia="Arial Unicode MS" w:hAnsi="Andalus" w:cs="Andalus"/>
          <w:bCs/>
          <w:sz w:val="20"/>
          <w:szCs w:val="20"/>
        </w:rPr>
        <w:t>(accessed on 10</w:t>
      </w:r>
      <w:r w:rsidRPr="00B86A3A">
        <w:rPr>
          <w:rFonts w:ascii="Andalus" w:eastAsia="Arial Unicode MS" w:hAnsi="Andalus" w:cs="Andalus"/>
          <w:bCs/>
          <w:sz w:val="20"/>
          <w:szCs w:val="20"/>
          <w:vertAlign w:val="superscript"/>
        </w:rPr>
        <w:t>th</w:t>
      </w:r>
      <w:r w:rsidRPr="00B86A3A">
        <w:rPr>
          <w:rFonts w:ascii="Andalus" w:eastAsia="Arial Unicode MS" w:hAnsi="Andalus" w:cs="Andalus"/>
          <w:bCs/>
          <w:sz w:val="20"/>
          <w:szCs w:val="20"/>
        </w:rPr>
        <w:t xml:space="preserve"> June 2013)</w:t>
      </w:r>
    </w:p>
  </w:footnote>
  <w:footnote w:id="140">
    <w:p w:rsidR="00600A30" w:rsidRPr="00B86A3A" w:rsidRDefault="00F17C5F" w:rsidP="009C3F69">
      <w:pPr>
        <w:pStyle w:val="Default"/>
        <w:ind w:left="-270"/>
        <w:jc w:val="both"/>
        <w:rPr>
          <w:rFonts w:ascii="Andalus" w:eastAsia="Arial Unicode MS" w:hAnsi="Andalus" w:cs="Andalus"/>
          <w:sz w:val="20"/>
          <w:szCs w:val="20"/>
        </w:rPr>
      </w:pPr>
      <w:r w:rsidRPr="00B86A3A">
        <w:rPr>
          <w:rStyle w:val="FootnoteReference"/>
          <w:rFonts w:ascii="Andalus" w:eastAsia="Arial Unicode MS" w:hAnsi="Andalus" w:cs="Andalus"/>
          <w:sz w:val="20"/>
          <w:szCs w:val="20"/>
        </w:rPr>
        <w:footnoteRef/>
      </w:r>
      <w:r w:rsidRPr="00B86A3A">
        <w:rPr>
          <w:rFonts w:ascii="Andalus" w:eastAsia="Arial Unicode MS" w:hAnsi="Andalus" w:cs="Andalus"/>
          <w:sz w:val="20"/>
          <w:szCs w:val="20"/>
        </w:rPr>
        <w:t xml:space="preserve"> Ewing, K.D ‘The Human Rights Act and Parliamentary Democracy’ (1999) 62 Modern Law Review 79.</w:t>
      </w:r>
    </w:p>
  </w:footnote>
  <w:footnote w:id="141">
    <w:p w:rsidR="00600A30" w:rsidRPr="00B86A3A" w:rsidRDefault="00F17C5F" w:rsidP="009C3F69">
      <w:pPr>
        <w:pStyle w:val="FootnoteText"/>
        <w:ind w:left="-270"/>
        <w:rPr>
          <w:rFonts w:ascii="Andalus" w:eastAsia="Arial Unicode MS" w:hAnsi="Andalus" w:cs="Andalus"/>
        </w:rPr>
      </w:pPr>
      <w:r w:rsidRPr="00B86A3A">
        <w:rPr>
          <w:rStyle w:val="FootnoteReference"/>
          <w:rFonts w:ascii="Andalus" w:eastAsia="Arial Unicode MS" w:hAnsi="Andalus" w:cs="Andalus"/>
        </w:rPr>
        <w:footnoteRef/>
      </w:r>
      <w:r w:rsidRPr="00B86A3A">
        <w:rPr>
          <w:rFonts w:ascii="Andalus" w:eastAsia="Arial Unicode MS" w:hAnsi="Andalus" w:cs="Andalus"/>
        </w:rPr>
        <w:t>Order 11 of Fundamental Rights Enforcement Procedure Rules 2009</w:t>
      </w:r>
    </w:p>
  </w:footnote>
  <w:footnote w:id="142">
    <w:p w:rsidR="00600A30" w:rsidRPr="00B86A3A" w:rsidRDefault="00F17C5F" w:rsidP="009C3F69">
      <w:pPr>
        <w:spacing w:after="0" w:line="240" w:lineRule="auto"/>
        <w:ind w:left="-270"/>
        <w:rPr>
          <w:rFonts w:ascii="Andalus" w:hAnsi="Andalus" w:cs="Andalus"/>
          <w:sz w:val="20"/>
          <w:szCs w:val="20"/>
        </w:rPr>
      </w:pPr>
      <w:r w:rsidRPr="00B86A3A">
        <w:rPr>
          <w:rStyle w:val="FootnoteReference"/>
          <w:rFonts w:ascii="Andalus" w:hAnsi="Andalus" w:cs="Andalus"/>
          <w:sz w:val="20"/>
          <w:szCs w:val="20"/>
        </w:rPr>
        <w:footnoteRef/>
      </w:r>
      <w:r w:rsidRPr="00B86A3A">
        <w:rPr>
          <w:rFonts w:ascii="Andalus" w:hAnsi="Andalus" w:cs="Andalus"/>
          <w:sz w:val="20"/>
          <w:szCs w:val="20"/>
        </w:rPr>
        <w:t>M Riekkinen  et al, (Ibid) p. 25</w:t>
      </w:r>
    </w:p>
  </w:footnote>
  <w:footnote w:id="143">
    <w:p w:rsidR="00600A30" w:rsidRPr="00B86A3A" w:rsidRDefault="00F17C5F" w:rsidP="009C3F69">
      <w:pPr>
        <w:pStyle w:val="FootnoteText"/>
        <w:ind w:left="-270"/>
        <w:rPr>
          <w:rFonts w:ascii="Andalus" w:eastAsia="Arial Unicode MS" w:hAnsi="Andalus" w:cs="Andalus"/>
        </w:rPr>
      </w:pPr>
      <w:r w:rsidRPr="00B86A3A">
        <w:rPr>
          <w:rStyle w:val="FootnoteReference"/>
          <w:rFonts w:ascii="Andalus" w:eastAsia="Arial Unicode MS" w:hAnsi="Andalus" w:cs="Andalus"/>
        </w:rPr>
        <w:footnoteRef/>
      </w:r>
      <w:r w:rsidRPr="00B86A3A">
        <w:rPr>
          <w:rFonts w:ascii="Andalus" w:eastAsia="Arial Unicode MS" w:hAnsi="Andalus" w:cs="Andalus"/>
        </w:rPr>
        <w:t xml:space="preserve"> Order 34 Rule 3 (1) &amp; (2) of Federal High Court Civil Procedure Rules 2009 </w:t>
      </w:r>
    </w:p>
  </w:footnote>
  <w:footnote w:id="144">
    <w:p w:rsidR="00600A30" w:rsidRPr="00B86A3A" w:rsidRDefault="00F17C5F" w:rsidP="009C3F69">
      <w:pPr>
        <w:pStyle w:val="FootnoteText"/>
        <w:ind w:left="-270"/>
        <w:rPr>
          <w:rFonts w:ascii="Andalus" w:hAnsi="Andalus" w:cs="Andalus"/>
        </w:rPr>
      </w:pPr>
      <w:r w:rsidRPr="00B86A3A">
        <w:rPr>
          <w:rStyle w:val="FootnoteReference"/>
          <w:rFonts w:ascii="Andalus" w:hAnsi="Andalus" w:cs="Andalus"/>
        </w:rPr>
        <w:footnoteRef/>
      </w:r>
      <w:r w:rsidRPr="00B86A3A">
        <w:rPr>
          <w:rFonts w:ascii="Andalus" w:hAnsi="Andalus" w:cs="Andalus"/>
        </w:rPr>
        <w:t xml:space="preserve">FOIA, supra </w:t>
      </w:r>
      <w:r w:rsidRPr="00B86A3A">
        <w:rPr>
          <w:rFonts w:ascii="Andalus" w:eastAsia="Arial Unicode MS" w:hAnsi="Andalus" w:cs="Andalus"/>
        </w:rPr>
        <w:t xml:space="preserve">n 10 @ section 23 </w:t>
      </w:r>
    </w:p>
  </w:footnote>
  <w:footnote w:id="145">
    <w:p w:rsidR="00600A30" w:rsidRPr="00B86A3A" w:rsidRDefault="00F17C5F" w:rsidP="009C3F69">
      <w:pPr>
        <w:pStyle w:val="FootnoteText"/>
        <w:ind w:left="-270"/>
        <w:rPr>
          <w:rFonts w:ascii="Andalus" w:hAnsi="Andalus" w:cs="Andalus"/>
        </w:rPr>
      </w:pPr>
      <w:r w:rsidRPr="00B86A3A">
        <w:rPr>
          <w:rStyle w:val="FootnoteReference"/>
          <w:rFonts w:ascii="Andalus" w:hAnsi="Andalus" w:cs="Andalus"/>
        </w:rPr>
        <w:footnoteRef/>
      </w:r>
      <w:r w:rsidRPr="00B86A3A">
        <w:rPr>
          <w:rFonts w:ascii="Andalus" w:hAnsi="Andalus" w:cs="Andalus"/>
        </w:rPr>
        <w:t>FREP, supra n 7 @ Order II</w:t>
      </w:r>
    </w:p>
  </w:footnote>
  <w:footnote w:id="146">
    <w:p w:rsidR="00600A30" w:rsidRPr="00B86A3A" w:rsidRDefault="00F17C5F" w:rsidP="009C3F69">
      <w:pPr>
        <w:pStyle w:val="FootnoteText"/>
        <w:ind w:left="-270"/>
        <w:jc w:val="both"/>
        <w:rPr>
          <w:rFonts w:ascii="Andalus" w:eastAsia="Arial Unicode MS" w:hAnsi="Andalus" w:cs="Andalus"/>
        </w:rPr>
      </w:pPr>
      <w:r w:rsidRPr="00B86A3A">
        <w:rPr>
          <w:rStyle w:val="FootnoteReference"/>
          <w:rFonts w:ascii="Andalus" w:eastAsia="Arial Unicode MS" w:hAnsi="Andalus" w:cs="Andalus"/>
        </w:rPr>
        <w:footnoteRef/>
      </w:r>
      <w:r w:rsidRPr="00B86A3A">
        <w:rPr>
          <w:rFonts w:ascii="Andalus" w:eastAsia="Arial Unicode MS" w:hAnsi="Andalus" w:cs="Andalus"/>
        </w:rPr>
        <w:t xml:space="preserve"> AP Le Sueur and M Sunkin “Application for judicial review” (1992) Public Law 102</w:t>
      </w:r>
    </w:p>
  </w:footnote>
  <w:footnote w:id="147">
    <w:p w:rsidR="00600A30" w:rsidRPr="00B86A3A" w:rsidRDefault="00F17C5F" w:rsidP="009C3F69">
      <w:pPr>
        <w:pStyle w:val="FootnoteText"/>
        <w:ind w:left="-270"/>
        <w:jc w:val="both"/>
        <w:rPr>
          <w:rFonts w:ascii="Andalus" w:eastAsia="Arial Unicode MS" w:hAnsi="Andalus" w:cs="Andalus"/>
        </w:rPr>
      </w:pPr>
      <w:r w:rsidRPr="00B86A3A">
        <w:rPr>
          <w:rStyle w:val="FootnoteReference"/>
          <w:rFonts w:ascii="Andalus" w:eastAsia="Arial Unicode MS" w:hAnsi="Andalus" w:cs="Andalus"/>
        </w:rPr>
        <w:footnoteRef/>
      </w:r>
      <w:r w:rsidRPr="00B86A3A">
        <w:rPr>
          <w:rFonts w:ascii="Andalus" w:eastAsia="Arial Unicode MS" w:hAnsi="Andalus" w:cs="Andalus"/>
        </w:rPr>
        <w:t xml:space="preserve"> (1999) 3 All ER 231</w:t>
      </w:r>
    </w:p>
  </w:footnote>
  <w:footnote w:id="148">
    <w:p w:rsidR="00600A30" w:rsidRPr="00B86A3A" w:rsidRDefault="00F17C5F" w:rsidP="009C3F69">
      <w:pPr>
        <w:pStyle w:val="FootnoteText"/>
        <w:ind w:left="-270"/>
        <w:rPr>
          <w:rFonts w:ascii="Andalus" w:hAnsi="Andalus" w:cs="Andalus"/>
        </w:rPr>
      </w:pPr>
      <w:r w:rsidRPr="00B86A3A">
        <w:rPr>
          <w:rStyle w:val="FootnoteReference"/>
          <w:rFonts w:ascii="Andalus" w:hAnsi="Andalus" w:cs="Andalus"/>
        </w:rPr>
        <w:footnoteRef/>
      </w:r>
      <w:r w:rsidRPr="00B86A3A">
        <w:rPr>
          <w:rFonts w:ascii="Andalus" w:hAnsi="Andalus" w:cs="Andalus"/>
        </w:rPr>
        <w:t xml:space="preserve"> (2002) 9 NWLR (pt. 722) 222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653426"/>
    <w:multiLevelType w:val="multilevel"/>
    <w:tmpl w:val="3165342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720" w:hanging="360"/>
      </w:pPr>
      <w:rPr>
        <w:rFonts w:ascii="Wingdings" w:hAnsi="Wingdings"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440" w:hanging="360"/>
      </w:pPr>
      <w:rPr>
        <w:rFonts w:ascii="Symbol" w:hAnsi="Symbol" w:hint="default"/>
      </w:rPr>
    </w:lvl>
    <w:lvl w:ilvl="4" w:tentative="1">
      <w:start w:val="1"/>
      <w:numFmt w:val="bullet"/>
      <w:lvlText w:val=""/>
      <w:lvlJc w:val="left"/>
      <w:pPr>
        <w:ind w:left="1800" w:hanging="360"/>
      </w:pPr>
      <w:rPr>
        <w:rFonts w:ascii="Symbol" w:hAnsi="Symbol" w:hint="default"/>
      </w:rPr>
    </w:lvl>
    <w:lvl w:ilvl="5" w:tentative="1">
      <w:start w:val="1"/>
      <w:numFmt w:val="bullet"/>
      <w:lvlText w:val=""/>
      <w:lvlJc w:val="left"/>
      <w:pPr>
        <w:ind w:left="2160" w:hanging="360"/>
      </w:pPr>
      <w:rPr>
        <w:rFonts w:ascii="Wingdings" w:hAnsi="Wingdings" w:hint="default"/>
      </w:rPr>
    </w:lvl>
    <w:lvl w:ilvl="6" w:tentative="1">
      <w:start w:val="1"/>
      <w:numFmt w:val="bullet"/>
      <w:lvlText w:val=""/>
      <w:lvlJc w:val="left"/>
      <w:pPr>
        <w:ind w:left="2520" w:hanging="360"/>
      </w:pPr>
      <w:rPr>
        <w:rFonts w:ascii="Wingdings" w:hAnsi="Wingdings" w:hint="default"/>
      </w:rPr>
    </w:lvl>
    <w:lvl w:ilvl="7" w:tentative="1">
      <w:start w:val="1"/>
      <w:numFmt w:val="bullet"/>
      <w:lvlText w:val=""/>
      <w:lvlJc w:val="left"/>
      <w:pPr>
        <w:ind w:left="2880" w:hanging="360"/>
      </w:pPr>
      <w:rPr>
        <w:rFonts w:ascii="Symbol" w:hAnsi="Symbol" w:hint="default"/>
      </w:rPr>
    </w:lvl>
    <w:lvl w:ilvl="8" w:tentative="1">
      <w:start w:val="1"/>
      <w:numFmt w:val="bullet"/>
      <w:lvlText w:val=""/>
      <w:lvlJc w:val="left"/>
      <w:pPr>
        <w:ind w:left="3240" w:hanging="360"/>
      </w:pPr>
      <w:rPr>
        <w:rFonts w:ascii="Symbol" w:hAnsi="Symbol" w:hint="default"/>
      </w:rPr>
    </w:lvl>
  </w:abstractNum>
  <w:abstractNum w:abstractNumId="1">
    <w:nsid w:val="3196096E"/>
    <w:multiLevelType w:val="hybridMultilevel"/>
    <w:tmpl w:val="1CD6A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4E7A35"/>
    <w:multiLevelType w:val="hybridMultilevel"/>
    <w:tmpl w:val="44E6841C"/>
    <w:lvl w:ilvl="0" w:tplc="B366E48A">
      <w:start w:val="1"/>
      <w:numFmt w:val="upperLetter"/>
      <w:lvlText w:val="(%1)"/>
      <w:lvlJc w:val="left"/>
      <w:pPr>
        <w:ind w:left="0" w:hanging="360"/>
      </w:pPr>
      <w:rPr>
        <w:rFonts w:hint="default"/>
        <w:u w:val="non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defaultTabStop w:val="720"/>
  <w:characterSpacingControl w:val="doNotCompress"/>
  <w:footnotePr>
    <w:footnote w:id="0"/>
    <w:footnote w:id="1"/>
  </w:footnotePr>
  <w:endnotePr>
    <w:endnote w:id="0"/>
    <w:endnote w:id="1"/>
  </w:endnotePr>
  <w:compat>
    <w:spaceForUL/>
    <w:doNotLeaveBackslashAlone/>
    <w:ulTrailSpace/>
    <w:doNotExpandShiftReturn/>
    <w:useFELayout/>
  </w:compat>
  <w:rsids>
    <w:rsidRoot w:val="00600A30"/>
    <w:rsid w:val="001579E2"/>
    <w:rsid w:val="002307D7"/>
    <w:rsid w:val="0028498F"/>
    <w:rsid w:val="00284CAD"/>
    <w:rsid w:val="003B4B8A"/>
    <w:rsid w:val="004A722B"/>
    <w:rsid w:val="004B2CB8"/>
    <w:rsid w:val="005A6790"/>
    <w:rsid w:val="005B6E2F"/>
    <w:rsid w:val="00600A30"/>
    <w:rsid w:val="00637FE1"/>
    <w:rsid w:val="00717145"/>
    <w:rsid w:val="007D20B3"/>
    <w:rsid w:val="008212F7"/>
    <w:rsid w:val="00823F9B"/>
    <w:rsid w:val="00857742"/>
    <w:rsid w:val="00892326"/>
    <w:rsid w:val="008D3EB3"/>
    <w:rsid w:val="008E5035"/>
    <w:rsid w:val="0092614C"/>
    <w:rsid w:val="00975375"/>
    <w:rsid w:val="009C3F69"/>
    <w:rsid w:val="00A207E8"/>
    <w:rsid w:val="00AD57EB"/>
    <w:rsid w:val="00B17BF9"/>
    <w:rsid w:val="00B371F8"/>
    <w:rsid w:val="00B86A3A"/>
    <w:rsid w:val="00C427FC"/>
    <w:rsid w:val="00C55395"/>
    <w:rsid w:val="00CA24C3"/>
    <w:rsid w:val="00CF675B"/>
    <w:rsid w:val="00D12F2F"/>
    <w:rsid w:val="00D21841"/>
    <w:rsid w:val="00DF03DC"/>
    <w:rsid w:val="00E37EFB"/>
    <w:rsid w:val="00F17C5F"/>
    <w:rsid w:val="00F61239"/>
    <w:rsid w:val="00FA3D48"/>
    <w:rsid w:val="00FB1BE0"/>
    <w:rsid w:val="00FF0988"/>
    <w:rsid w:val="00FF3C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99"/>
    <w:lsdException w:name="header" w:semiHidden="0" w:uiPriority="99"/>
    <w:lsdException w:name="footer" w:semiHidden="0" w:uiPriority="99"/>
    <w:lsdException w:name="caption" w:uiPriority="35" w:qFormat="1"/>
    <w:lsdException w:name="footnote reference" w:semiHidden="0" w:uiPriority="99"/>
    <w:lsdException w:name="Title" w:semiHidden="0" w:uiPriority="10" w:unhideWhenUsed="0" w:qFormat="1"/>
    <w:lsdException w:name="Default Paragraph Font" w:uiPriority="1"/>
    <w:lsdException w:name="Subtitle" w:semiHidden="0" w:uiPriority="11" w:unhideWhenUsed="0" w:qFormat="1"/>
    <w:lsdException w:name="Block Text" w:semiHidden="0"/>
    <w:lsdException w:name="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A30"/>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0A30"/>
    <w:pPr>
      <w:spacing w:after="0" w:line="240" w:lineRule="auto"/>
    </w:pPr>
    <w:rPr>
      <w:rFonts w:ascii="Tahoma" w:hAnsi="Tahoma" w:cs="Tahoma"/>
      <w:sz w:val="16"/>
      <w:szCs w:val="16"/>
    </w:rPr>
  </w:style>
  <w:style w:type="paragraph" w:styleId="BlockText">
    <w:name w:val="Block Text"/>
    <w:basedOn w:val="Normal"/>
    <w:unhideWhenUsed/>
    <w:rsid w:val="00600A30"/>
    <w:pPr>
      <w:spacing w:after="0" w:line="240" w:lineRule="auto"/>
      <w:ind w:left="720" w:right="720" w:hanging="720"/>
      <w:jc w:val="both"/>
    </w:pPr>
    <w:rPr>
      <w:rFonts w:ascii="Times New Roman" w:eastAsia="Times New Roman" w:hAnsi="Times New Roman"/>
      <w:sz w:val="28"/>
      <w:szCs w:val="28"/>
    </w:rPr>
  </w:style>
  <w:style w:type="paragraph" w:styleId="Footer">
    <w:name w:val="footer"/>
    <w:basedOn w:val="Normal"/>
    <w:link w:val="FooterChar"/>
    <w:uiPriority w:val="99"/>
    <w:unhideWhenUsed/>
    <w:rsid w:val="00600A30"/>
    <w:pPr>
      <w:tabs>
        <w:tab w:val="center" w:pos="4680"/>
        <w:tab w:val="right" w:pos="9360"/>
      </w:tabs>
      <w:spacing w:after="0" w:line="240" w:lineRule="auto"/>
    </w:pPr>
  </w:style>
  <w:style w:type="paragraph" w:styleId="FootnoteText">
    <w:name w:val="footnote text"/>
    <w:basedOn w:val="Normal"/>
    <w:link w:val="FootnoteTextChar"/>
    <w:uiPriority w:val="99"/>
    <w:unhideWhenUsed/>
    <w:rsid w:val="00600A30"/>
    <w:pPr>
      <w:spacing w:after="0" w:line="240" w:lineRule="auto"/>
    </w:pPr>
    <w:rPr>
      <w:rFonts w:ascii="Times New Roman" w:eastAsia="Times New Roman" w:hAnsi="Times New Roman"/>
      <w:sz w:val="20"/>
      <w:szCs w:val="20"/>
    </w:rPr>
  </w:style>
  <w:style w:type="paragraph" w:styleId="Header">
    <w:name w:val="header"/>
    <w:basedOn w:val="Normal"/>
    <w:link w:val="HeaderChar"/>
    <w:uiPriority w:val="99"/>
    <w:unhideWhenUsed/>
    <w:rsid w:val="00600A30"/>
    <w:pPr>
      <w:tabs>
        <w:tab w:val="center" w:pos="4680"/>
        <w:tab w:val="right" w:pos="9360"/>
      </w:tabs>
      <w:spacing w:after="0" w:line="240" w:lineRule="auto"/>
    </w:pPr>
  </w:style>
  <w:style w:type="paragraph" w:styleId="NormalWeb">
    <w:name w:val="Normal (Web)"/>
    <w:basedOn w:val="Normal"/>
    <w:uiPriority w:val="99"/>
    <w:unhideWhenUsed/>
    <w:rsid w:val="00600A30"/>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600A30"/>
    <w:rPr>
      <w:b/>
      <w:bCs/>
      <w:i/>
      <w:iCs/>
      <w:spacing w:val="10"/>
    </w:rPr>
  </w:style>
  <w:style w:type="character" w:styleId="FootnoteReference">
    <w:name w:val="footnote reference"/>
    <w:basedOn w:val="DefaultParagraphFont"/>
    <w:uiPriority w:val="99"/>
    <w:unhideWhenUsed/>
    <w:rsid w:val="00600A30"/>
    <w:rPr>
      <w:vertAlign w:val="superscript"/>
    </w:rPr>
  </w:style>
  <w:style w:type="character" w:styleId="Hyperlink">
    <w:name w:val="Hyperlink"/>
    <w:basedOn w:val="DefaultParagraphFont"/>
    <w:uiPriority w:val="99"/>
    <w:unhideWhenUsed/>
    <w:rsid w:val="00600A30"/>
    <w:rPr>
      <w:color w:val="0000FF"/>
      <w:u w:val="single"/>
    </w:rPr>
  </w:style>
  <w:style w:type="paragraph" w:customStyle="1" w:styleId="ListParagraph1">
    <w:name w:val="List Paragraph1"/>
    <w:basedOn w:val="Normal"/>
    <w:uiPriority w:val="34"/>
    <w:qFormat/>
    <w:rsid w:val="00600A30"/>
    <w:pPr>
      <w:ind w:left="720"/>
      <w:contextualSpacing/>
    </w:pPr>
  </w:style>
  <w:style w:type="paragraph" w:customStyle="1" w:styleId="Default">
    <w:name w:val="Default"/>
    <w:rsid w:val="00600A30"/>
    <w:pPr>
      <w:autoSpaceDE w:val="0"/>
      <w:autoSpaceDN w:val="0"/>
      <w:adjustRightInd w:val="0"/>
    </w:pPr>
    <w:rPr>
      <w:color w:val="000000"/>
      <w:sz w:val="24"/>
      <w:szCs w:val="24"/>
      <w:lang w:eastAsia="zh-CN"/>
    </w:rPr>
  </w:style>
  <w:style w:type="paragraph" w:customStyle="1" w:styleId="Body1">
    <w:name w:val="Body 1"/>
    <w:rsid w:val="00600A30"/>
    <w:rPr>
      <w:rFonts w:ascii="Helvetica" w:eastAsia="Arial Unicode MS" w:hAnsi="Helvetica"/>
      <w:color w:val="000000"/>
      <w:sz w:val="24"/>
      <w:lang w:eastAsia="zh-CN"/>
    </w:rPr>
  </w:style>
  <w:style w:type="character" w:customStyle="1" w:styleId="FootnoteTextChar">
    <w:name w:val="Footnote Text Char"/>
    <w:basedOn w:val="DefaultParagraphFont"/>
    <w:link w:val="FootnoteText"/>
    <w:uiPriority w:val="99"/>
    <w:rsid w:val="00600A30"/>
    <w:rPr>
      <w:rFonts w:ascii="Times New Roman" w:eastAsia="Times New Roman" w:hAnsi="Times New Roman" w:cs="Times New Roman"/>
      <w:sz w:val="20"/>
      <w:szCs w:val="20"/>
    </w:rPr>
  </w:style>
  <w:style w:type="character" w:customStyle="1" w:styleId="field-content">
    <w:name w:val="field-content"/>
    <w:basedOn w:val="DefaultParagraphFont"/>
    <w:rsid w:val="00600A30"/>
  </w:style>
  <w:style w:type="character" w:customStyle="1" w:styleId="views-field">
    <w:name w:val="views-field"/>
    <w:basedOn w:val="DefaultParagraphFont"/>
    <w:rsid w:val="00600A30"/>
  </w:style>
  <w:style w:type="character" w:customStyle="1" w:styleId="HeaderChar">
    <w:name w:val="Header Char"/>
    <w:basedOn w:val="DefaultParagraphFont"/>
    <w:link w:val="Header"/>
    <w:uiPriority w:val="99"/>
    <w:rsid w:val="00600A30"/>
  </w:style>
  <w:style w:type="character" w:customStyle="1" w:styleId="FooterChar">
    <w:name w:val="Footer Char"/>
    <w:basedOn w:val="DefaultParagraphFont"/>
    <w:link w:val="Footer"/>
    <w:uiPriority w:val="99"/>
    <w:rsid w:val="00600A30"/>
  </w:style>
  <w:style w:type="character" w:customStyle="1" w:styleId="BalloonTextChar">
    <w:name w:val="Balloon Text Char"/>
    <w:basedOn w:val="DefaultParagraphFont"/>
    <w:link w:val="BalloonText"/>
    <w:uiPriority w:val="99"/>
    <w:semiHidden/>
    <w:rsid w:val="00600A30"/>
    <w:rPr>
      <w:rFonts w:ascii="Tahoma" w:hAnsi="Tahoma" w:cs="Tahoma"/>
      <w:sz w:val="16"/>
      <w:szCs w:val="16"/>
    </w:rPr>
  </w:style>
  <w:style w:type="character" w:customStyle="1" w:styleId="st">
    <w:name w:val="st"/>
    <w:basedOn w:val="DefaultParagraphFont"/>
    <w:rsid w:val="00600A30"/>
  </w:style>
  <w:style w:type="paragraph" w:styleId="ListParagraph">
    <w:name w:val="List Paragraph"/>
    <w:basedOn w:val="Normal"/>
    <w:uiPriority w:val="34"/>
    <w:qFormat/>
    <w:rsid w:val="00FF3C1F"/>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vanguardngr.com/2014/05/court-orders-edo-hivaids-control-agency-declare-financial-statements/" TargetMode="External"/><Relationship Id="rId13" Type="http://schemas.openxmlformats.org/officeDocument/2006/relationships/hyperlink" Target="http://www.humanrightinitiative.org/programs/ai/articles/record_keeping_ai.pdf" TargetMode="External"/><Relationship Id="rId3" Type="http://schemas.openxmlformats.org/officeDocument/2006/relationships/hyperlink" Target="http://www.openjournal.org/article/download/6107/4278" TargetMode="External"/><Relationship Id="rId7" Type="http://schemas.openxmlformats.org/officeDocument/2006/relationships/hyperlink" Target="http://www.unece.org/fileadmin/DAM/env/pp/documents/cep43e.pdf" TargetMode="External"/><Relationship Id="rId12" Type="http://schemas.openxmlformats.org/officeDocument/2006/relationships/hyperlink" Target="http://www.webpages.uidaho.edu/-mbolin/abioye.htm" TargetMode="External"/><Relationship Id="rId2" Type="http://schemas.openxmlformats.org/officeDocument/2006/relationships/hyperlink" Target="mailto:dr.doftom@yahoo,com" TargetMode="External"/><Relationship Id="rId1" Type="http://schemas.openxmlformats.org/officeDocument/2006/relationships/hyperlink" Target="mailto:kpresident@yahoo.com" TargetMode="External"/><Relationship Id="rId6" Type="http://schemas.openxmlformats.org/officeDocument/2006/relationships/hyperlink" Target="http://www2.ohchr.org/english/bodies/hrc/docs/gc34.pdf" TargetMode="External"/><Relationship Id="rId11" Type="http://schemas.openxmlformats.org/officeDocument/2006/relationships/hyperlink" Target="Library%20Philosophy%20and%20Practice%20(2009" TargetMode="External"/><Relationship Id="rId5" Type="http://schemas.openxmlformats.org/officeDocument/2006/relationships/hyperlink" Target="http://www.ohchr.org/en/udhr/pages/introduction.aspx" TargetMode="External"/><Relationship Id="rId15" Type="http://schemas.openxmlformats.org/officeDocument/2006/relationships/hyperlink" Target="https://research.ncl.ac.uk/media/sites/researchwebsites/northeastlawreview/Thomas%20Raine.pdf" TargetMode="External"/><Relationship Id="rId10" Type="http://schemas.openxmlformats.org/officeDocument/2006/relationships/hyperlink" Target="mailto:biolaabioye@yahoo.com" TargetMode="External"/><Relationship Id="rId4" Type="http://schemas.openxmlformats.org/officeDocument/2006/relationships/hyperlink" Target="http://www.article19.org/data/files/pdfs/publications/foi-as-an-international-right.pdf" TargetMode="External"/><Relationship Id="rId9" Type="http://schemas.openxmlformats.org/officeDocument/2006/relationships/hyperlink" Target="http://www.opensocistyfoundations.org/topics/freedom-information?sid" TargetMode="External"/><Relationship Id="rId14" Type="http://schemas.openxmlformats.org/officeDocument/2006/relationships/hyperlink" Target="http://www1.umn.edu/humanrts/cases/60-0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869025-3B25-4FCE-BFCD-E3A2CCE0D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24</Pages>
  <Words>8615</Words>
  <Characters>49112</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Is right to information a fundamental right?</vt:lpstr>
    </vt:vector>
  </TitlesOfParts>
  <Company/>
  <LinksUpToDate>false</LinksUpToDate>
  <CharactersWithSpaces>57612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Is right to information a fundamental right?</dc:title>
  <dc:subject/>
  <dc:creator>hp</dc:creator>
  <cp:keywords/>
  <dc:description/>
  <cp:lastModifiedBy>user</cp:lastModifiedBy>
  <cp:revision>19</cp:revision>
  <cp:lastPrinted>2015-07-09T12:12:00Z</cp:lastPrinted>
  <dcterms:created xsi:type="dcterms:W3CDTF">2015-05-02T18:10:00Z</dcterms:created>
  <dcterms:modified xsi:type="dcterms:W3CDTF">2015-12-06T09:55:00Z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